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64AE01DF" w:rsidR="00E66558" w:rsidRPr="00E30695" w:rsidRDefault="00E30695" w:rsidP="00E30695">
      <w:pPr>
        <w:pStyle w:val="Heading1"/>
        <w:jc w:val="center"/>
        <w:rPr>
          <w:color w:val="00B050"/>
        </w:rPr>
      </w:pPr>
      <w:bookmarkStart w:id="0" w:name="_Toc400361362"/>
      <w:bookmarkStart w:id="1" w:name="_Toc443397153"/>
      <w:bookmarkStart w:id="2" w:name="_Toc357771638"/>
      <w:bookmarkStart w:id="3" w:name="_Toc346793416"/>
      <w:bookmarkStart w:id="4" w:name="_Toc328122777"/>
      <w:r w:rsidRPr="00E30695">
        <w:rPr>
          <w:color w:val="00B050"/>
        </w:rPr>
        <w:t xml:space="preserve">Senacre Wood </w:t>
      </w:r>
      <w:r w:rsidR="009D71E8" w:rsidRPr="00E30695">
        <w:rPr>
          <w:color w:val="00B050"/>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15B8F5DA" w14:textId="2E3FC574" w:rsidR="003F003B" w:rsidRPr="003F003B" w:rsidRDefault="003F003B" w:rsidP="003F003B">
      <w:pPr>
        <w:rPr>
          <w:color w:val="000000" w:themeColor="text1"/>
          <w:sz w:val="22"/>
          <w:szCs w:val="22"/>
        </w:rPr>
      </w:pPr>
      <w:r w:rsidRPr="003F003B">
        <w:rPr>
          <w:color w:val="000000" w:themeColor="text1"/>
          <w:sz w:val="22"/>
          <w:szCs w:val="22"/>
        </w:rPr>
        <w:t>This statement details our school’s use of pupil premium (and recovery premium) funding to help improve the attainment of our disadvantaged pupils. It outlines our pupil premium strategy, how we intend to spend the funding in this academic year and the outcomes for disadvantaged pupils last academic year</w:t>
      </w:r>
    </w:p>
    <w:p w14:paraId="2A7D54B4" w14:textId="0626B34B" w:rsidR="00E66558" w:rsidRPr="00E30695" w:rsidRDefault="009D71E8" w:rsidP="003F003B">
      <w:pPr>
        <w:pStyle w:val="Heading2"/>
        <w:rPr>
          <w:color w:val="00B050"/>
        </w:rPr>
      </w:pPr>
      <w:r w:rsidRPr="00E30695">
        <w:rPr>
          <w:color w:val="00B050"/>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E30695">
        <w:tc>
          <w:tcPr>
            <w:tcW w:w="6517"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E30695">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41FA16A8" w:rsidR="00E66558" w:rsidRDefault="00E30695">
            <w:pPr>
              <w:pStyle w:val="TableRow"/>
            </w:pPr>
            <w:r>
              <w:t>Senacre Wood Primary School</w:t>
            </w:r>
          </w:p>
        </w:tc>
      </w:tr>
      <w:tr w:rsidR="00E66558" w14:paraId="2A7D54BD" w14:textId="77777777" w:rsidTr="00E30695">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2883705A" w:rsidR="00E66558" w:rsidRDefault="00743858">
            <w:pPr>
              <w:pStyle w:val="TableRow"/>
            </w:pPr>
            <w:r>
              <w:t>210</w:t>
            </w:r>
          </w:p>
        </w:tc>
      </w:tr>
      <w:tr w:rsidR="00E66558" w14:paraId="2A7D54C0" w14:textId="77777777" w:rsidTr="00E30695">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144324C4" w:rsidR="00E66558" w:rsidRDefault="00A4537D">
            <w:pPr>
              <w:pStyle w:val="TableRow"/>
            </w:pPr>
            <w:r>
              <w:t>41</w:t>
            </w:r>
            <w:r w:rsidR="00B72D02">
              <w:t>%</w:t>
            </w:r>
          </w:p>
        </w:tc>
      </w:tr>
      <w:tr w:rsidR="00E66558" w14:paraId="2A7D54C3" w14:textId="77777777" w:rsidTr="00E30695">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18DD9" w14:textId="2A97D0FB" w:rsidR="00E66558" w:rsidRDefault="00743858">
            <w:pPr>
              <w:pStyle w:val="TableRow"/>
            </w:pPr>
            <w:r>
              <w:t>2024-2027</w:t>
            </w:r>
          </w:p>
          <w:p w14:paraId="2A7D54C2" w14:textId="3192F668" w:rsidR="003F003B" w:rsidRDefault="00743858">
            <w:pPr>
              <w:pStyle w:val="TableRow"/>
            </w:pPr>
            <w:r>
              <w:t>(Current year 202</w:t>
            </w:r>
            <w:r w:rsidR="00A4537D">
              <w:t>5-26</w:t>
            </w:r>
            <w:r w:rsidR="003F003B">
              <w:t>)</w:t>
            </w:r>
          </w:p>
        </w:tc>
      </w:tr>
      <w:tr w:rsidR="00E66558" w14:paraId="2A7D54C6" w14:textId="77777777" w:rsidTr="00E30695">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221108A7" w:rsidR="00E66558" w:rsidRDefault="00743858">
            <w:pPr>
              <w:pStyle w:val="TableRow"/>
            </w:pPr>
            <w:r>
              <w:t>December 202</w:t>
            </w:r>
            <w:r w:rsidR="00A4537D">
              <w:t>5</w:t>
            </w:r>
          </w:p>
        </w:tc>
      </w:tr>
      <w:tr w:rsidR="00E66558" w14:paraId="2A7D54C9" w14:textId="77777777" w:rsidTr="00E30695">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5E67978E" w:rsidR="00E66558" w:rsidRDefault="006F4F2E">
            <w:pPr>
              <w:pStyle w:val="TableRow"/>
            </w:pPr>
            <w:r>
              <w:t>July 202</w:t>
            </w:r>
            <w:r w:rsidR="00A4537D">
              <w:t>6</w:t>
            </w:r>
          </w:p>
        </w:tc>
      </w:tr>
      <w:tr w:rsidR="00E66558" w14:paraId="2A7D54CC" w14:textId="77777777" w:rsidTr="00E30695">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7AEEC96A" w:rsidR="00E66558" w:rsidRDefault="00B72D02">
            <w:pPr>
              <w:pStyle w:val="TableRow"/>
            </w:pPr>
            <w:r>
              <w:t>Emily Sweeney, Headteacher</w:t>
            </w:r>
          </w:p>
        </w:tc>
      </w:tr>
      <w:tr w:rsidR="00E66558" w14:paraId="2A7D54CF" w14:textId="77777777" w:rsidTr="00E30695">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45190A52" w:rsidR="00E66558" w:rsidRDefault="003F003B">
            <w:pPr>
              <w:pStyle w:val="TableRow"/>
            </w:pPr>
            <w:r>
              <w:t>Emily Sweeney, Headteacher</w:t>
            </w:r>
          </w:p>
        </w:tc>
      </w:tr>
      <w:tr w:rsidR="00E66558" w14:paraId="2A7D54D2" w14:textId="77777777" w:rsidTr="00E30695">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631D4BFE" w:rsidR="00E66558" w:rsidRDefault="00E30695" w:rsidP="00E30695">
            <w:pPr>
              <w:pStyle w:val="TableRow"/>
            </w:pPr>
            <w:r>
              <w:t>Governor</w:t>
            </w:r>
            <w:r w:rsidR="009D71E8">
              <w:rPr>
                <w:szCs w:val="22"/>
              </w:rPr>
              <w:t xml:space="preserve"> </w:t>
            </w:r>
            <w:r w:rsidR="009D71E8">
              <w:t>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334E140D" w:rsidR="00E66558" w:rsidRDefault="003F003B">
            <w:pPr>
              <w:pStyle w:val="TableRow"/>
            </w:pPr>
            <w:r>
              <w:t>Joanne Mason</w:t>
            </w:r>
          </w:p>
        </w:tc>
      </w:tr>
    </w:tbl>
    <w:bookmarkEnd w:id="2"/>
    <w:bookmarkEnd w:id="3"/>
    <w:bookmarkEnd w:id="4"/>
    <w:p w14:paraId="2A7D54D3" w14:textId="0B257181" w:rsidR="00E66558" w:rsidRPr="00E30695" w:rsidRDefault="00E30695">
      <w:pPr>
        <w:spacing w:before="480" w:line="240" w:lineRule="auto"/>
        <w:rPr>
          <w:b/>
          <w:color w:val="00B050"/>
          <w:sz w:val="32"/>
          <w:szCs w:val="32"/>
        </w:rPr>
      </w:pPr>
      <w:r w:rsidRPr="00E30695">
        <w:rPr>
          <w:b/>
          <w:color w:val="00B050"/>
          <w:sz w:val="32"/>
          <w:szCs w:val="32"/>
        </w:rPr>
        <w:t>F</w:t>
      </w:r>
      <w:r w:rsidR="009D71E8" w:rsidRPr="00E30695">
        <w:rPr>
          <w:b/>
          <w:color w:val="00B050"/>
          <w:sz w:val="32"/>
          <w:szCs w:val="32"/>
        </w:rPr>
        <w:t>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E30695">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07E2141B" w:rsidR="00E66558" w:rsidRDefault="00A4537D" w:rsidP="00A4537D">
            <w:pPr>
              <w:pStyle w:val="TableRow"/>
            </w:pPr>
            <w:r w:rsidRPr="00A4537D">
              <w:t>£122,575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3CB2AB74" w:rsidR="00E66558" w:rsidRDefault="009D71E8">
            <w:pPr>
              <w:pStyle w:val="TableRow"/>
            </w:pPr>
            <w:r>
              <w:t>£</w:t>
            </w:r>
            <w:r w:rsidR="005F7EFE">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0C650D8E" w:rsidR="00E66558" w:rsidRDefault="00E66558" w:rsidP="004C1386">
            <w:pPr>
              <w:pStyle w:val="TableRow"/>
              <w:ind w:left="0"/>
            </w:pP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09F7F0EB" w:rsidR="00E66558" w:rsidRDefault="00A4537D" w:rsidP="00A4537D">
            <w:pPr>
              <w:pStyle w:val="TableRow"/>
            </w:pPr>
            <w:r w:rsidRPr="00A4537D">
              <w:t>£122,575</w:t>
            </w:r>
          </w:p>
        </w:tc>
      </w:tr>
    </w:tbl>
    <w:p w14:paraId="2A7D54E4" w14:textId="77777777" w:rsidR="00E66558" w:rsidRPr="00E30695" w:rsidRDefault="009D71E8">
      <w:pPr>
        <w:pStyle w:val="Heading1"/>
        <w:rPr>
          <w:color w:val="00B050"/>
        </w:rPr>
      </w:pPr>
      <w:r w:rsidRPr="00E30695">
        <w:rPr>
          <w:color w:val="00B050"/>
        </w:rPr>
        <w:lastRenderedPageBreak/>
        <w:t>Part A: Pupil premium strategy plan</w:t>
      </w:r>
    </w:p>
    <w:p w14:paraId="2A7D54E5" w14:textId="77777777" w:rsidR="00E66558" w:rsidRPr="00E30695" w:rsidRDefault="009D71E8">
      <w:pPr>
        <w:pStyle w:val="Heading2"/>
        <w:rPr>
          <w:color w:val="00B050"/>
        </w:rPr>
      </w:pPr>
      <w:bookmarkStart w:id="14" w:name="_Toc357771640"/>
      <w:bookmarkStart w:id="15" w:name="_Toc346793418"/>
      <w:r w:rsidRPr="00E30695">
        <w:rPr>
          <w:color w:val="00B050"/>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61865" w14:textId="77777777" w:rsidR="00432E48" w:rsidRDefault="00432E48" w:rsidP="00432E48">
            <w:r>
              <w:t xml:space="preserve">At Senacre Wood Primary School, we make decisions about allocating Pupil Premium funding through school context, school data as well as research conducted by EEF. We use this information to support the decisions we make, which centre around the impact of the strategies and their value for money. </w:t>
            </w:r>
          </w:p>
          <w:p w14:paraId="0C18904E" w14:textId="77777777" w:rsidR="004C1386" w:rsidRPr="00E27862" w:rsidRDefault="004C1386" w:rsidP="004C1386">
            <w:pPr>
              <w:spacing w:before="120"/>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Pr="00E27862">
              <w:rPr>
                <w:rFonts w:cs="Arial"/>
                <w:iCs/>
                <w:color w:val="auto"/>
                <w:lang w:val="en-US"/>
              </w:rPr>
              <w:t xml:space="preserve">The focus of our pupil premium strategy is to support disadvantaged pupils to achieve that goal, including progress for those who are already high attainers. </w:t>
            </w:r>
          </w:p>
          <w:p w14:paraId="2564C92B" w14:textId="77777777" w:rsidR="004C1386" w:rsidRPr="00E27862" w:rsidRDefault="004C1386" w:rsidP="004C1386">
            <w:pPr>
              <w:spacing w:before="120"/>
              <w:rPr>
                <w:rFonts w:cs="Arial"/>
                <w:iCs/>
                <w:color w:val="auto"/>
              </w:rPr>
            </w:pPr>
            <w:r w:rsidRPr="00E27862">
              <w:rPr>
                <w:rFonts w:cs="Arial"/>
                <w:iCs/>
                <w:color w:val="auto"/>
                <w:lang w:val="en-US"/>
              </w:rPr>
              <w:t>We will consider the challenges faced by vulnerable pupils, such as those who have a social worker and young carers. The activity we have outlined in this statement is also intended to support their needs, regardless of whether the</w:t>
            </w:r>
            <w:r>
              <w:rPr>
                <w:rFonts w:cs="Arial"/>
                <w:iCs/>
                <w:color w:val="auto"/>
                <w:lang w:val="en-US"/>
              </w:rPr>
              <w:t>y a</w:t>
            </w:r>
            <w:r w:rsidRPr="00DC2737">
              <w:rPr>
                <w:rFonts w:cs="Arial"/>
                <w:iCs/>
                <w:color w:val="auto"/>
                <w:lang w:val="en-US"/>
              </w:rPr>
              <w:t>re disadvantaged or not</w:t>
            </w:r>
            <w:r w:rsidRPr="00BC0368">
              <w:rPr>
                <w:rFonts w:cs="Arial"/>
                <w:iCs/>
                <w:color w:val="auto"/>
                <w:lang w:val="en-US"/>
              </w:rPr>
              <w:t>.</w:t>
            </w:r>
          </w:p>
          <w:p w14:paraId="26863F61" w14:textId="77777777" w:rsidR="004C1386" w:rsidRPr="00E27862" w:rsidRDefault="004C1386" w:rsidP="004C1386">
            <w:pPr>
              <w:rPr>
                <w:iCs/>
                <w:color w:val="auto"/>
                <w:lang w:val="en-US"/>
              </w:rPr>
            </w:pPr>
            <w:r w:rsidRPr="00E27862">
              <w:rPr>
                <w:rFonts w:cs="Arial"/>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Pr="00E27862">
              <w:rPr>
                <w:iCs/>
                <w:color w:val="auto"/>
                <w:lang w:val="en-US"/>
              </w:rPr>
              <w:t>Implicit in the intended outcomes detailed below, is the intention that non-disadvantaged pupils’ attainment will be sustained and improved alongside progress for their disadvantaged peers.</w:t>
            </w:r>
          </w:p>
          <w:p w14:paraId="5E048873" w14:textId="77777777" w:rsidR="004C1386" w:rsidRPr="00E27862" w:rsidRDefault="004C1386" w:rsidP="004C1386">
            <w:pPr>
              <w:spacing w:after="120"/>
              <w:rPr>
                <w:rFonts w:cs="Arial"/>
                <w:iCs/>
                <w:color w:val="auto"/>
                <w:lang w:val="en-US"/>
              </w:rPr>
            </w:pPr>
            <w:r w:rsidRPr="00E27862">
              <w:rPr>
                <w:rFonts w:cs="Arial"/>
                <w:iCs/>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1DD4BCD6" w14:textId="3629ECBB" w:rsidR="00432E48" w:rsidRDefault="004C1386" w:rsidP="00432E48">
            <w:pPr>
              <w:pStyle w:val="ListParagraph"/>
              <w:numPr>
                <w:ilvl w:val="0"/>
                <w:numId w:val="14"/>
              </w:numPr>
            </w:pPr>
            <w:r>
              <w:t>E</w:t>
            </w:r>
            <w:r w:rsidR="00432E48">
              <w:t>nsure our disadvantaged pupils make good or better progress in all areas of the curriculum</w:t>
            </w:r>
          </w:p>
          <w:p w14:paraId="17DAAC30" w14:textId="27D47BF2" w:rsidR="00432E48" w:rsidRDefault="004C1386" w:rsidP="00432E48">
            <w:pPr>
              <w:pStyle w:val="ListParagraph"/>
              <w:numPr>
                <w:ilvl w:val="0"/>
                <w:numId w:val="14"/>
              </w:numPr>
            </w:pPr>
            <w:r>
              <w:t>E</w:t>
            </w:r>
            <w:r w:rsidR="00432E48">
              <w:t xml:space="preserve">nsure disadvantaged pupils are identified early and assessment of barriers is actioned on entry </w:t>
            </w:r>
          </w:p>
          <w:p w14:paraId="4E916370" w14:textId="071EE39D" w:rsidR="00432E48" w:rsidRDefault="004C1386" w:rsidP="00432E48">
            <w:pPr>
              <w:pStyle w:val="ListParagraph"/>
              <w:numPr>
                <w:ilvl w:val="0"/>
                <w:numId w:val="14"/>
              </w:numPr>
            </w:pPr>
            <w:r>
              <w:t>E</w:t>
            </w:r>
            <w:r w:rsidR="00432E48">
              <w:t xml:space="preserve">nsure opportunities are given for all disadvantaged pupils to reach age-related expectations </w:t>
            </w:r>
          </w:p>
          <w:p w14:paraId="74ABD725" w14:textId="78040D6E" w:rsidR="00432E48" w:rsidRDefault="004C1386" w:rsidP="00432E48">
            <w:pPr>
              <w:pStyle w:val="ListParagraph"/>
              <w:numPr>
                <w:ilvl w:val="0"/>
                <w:numId w:val="14"/>
              </w:numPr>
            </w:pPr>
            <w:r>
              <w:t>S</w:t>
            </w:r>
            <w:r w:rsidR="00432E48">
              <w:t xml:space="preserve">upport the emotional and social development of all pupils </w:t>
            </w:r>
          </w:p>
          <w:p w14:paraId="5BA53932" w14:textId="4A2CCA93" w:rsidR="00432E48" w:rsidRDefault="004C1386" w:rsidP="00432E48">
            <w:pPr>
              <w:pStyle w:val="ListParagraph"/>
              <w:numPr>
                <w:ilvl w:val="0"/>
                <w:numId w:val="14"/>
              </w:numPr>
            </w:pPr>
            <w:r>
              <w:t>E</w:t>
            </w:r>
            <w:r w:rsidR="00432E48">
              <w:t>nrich the experiences of all pupils through a varied and rich curriculum and wider school experiences.</w:t>
            </w:r>
          </w:p>
          <w:p w14:paraId="2A7D54E9" w14:textId="0EE4645F" w:rsidR="00E66558" w:rsidRPr="00432E48" w:rsidRDefault="004C1386" w:rsidP="00432E48">
            <w:pPr>
              <w:pStyle w:val="ListParagraph"/>
              <w:numPr>
                <w:ilvl w:val="0"/>
                <w:numId w:val="14"/>
              </w:numPr>
            </w:pPr>
            <w:r>
              <w:t>E</w:t>
            </w:r>
            <w:r w:rsidR="00432E48">
              <w:t>nsure all pupils have good attendance.</w:t>
            </w:r>
          </w:p>
        </w:tc>
      </w:tr>
    </w:tbl>
    <w:p w14:paraId="2A7D54EB" w14:textId="77777777" w:rsidR="00E66558" w:rsidRPr="00E30695" w:rsidRDefault="009D71E8">
      <w:pPr>
        <w:pStyle w:val="Heading2"/>
        <w:spacing w:before="600"/>
        <w:rPr>
          <w:color w:val="00B050"/>
        </w:rPr>
      </w:pPr>
      <w:r w:rsidRPr="00E30695">
        <w:rPr>
          <w:color w:val="00B050"/>
        </w:rP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E30695">
        <w:tc>
          <w:tcPr>
            <w:tcW w:w="1477"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43E07BD6" w:rsidR="00EC7D61" w:rsidRPr="00EC7D61" w:rsidRDefault="00EC7D61" w:rsidP="00C92A87">
            <w:pPr>
              <w:pStyle w:val="TableRowCentered"/>
              <w:jc w:val="left"/>
              <w:rPr>
                <w:iCs/>
                <w:sz w:val="22"/>
                <w:szCs w:val="22"/>
              </w:rPr>
            </w:pPr>
            <w:r>
              <w:rPr>
                <w:iCs/>
                <w:sz w:val="22"/>
                <w:szCs w:val="22"/>
              </w:rPr>
              <w:t xml:space="preserve">The attendance of our pupil premium children as a group is </w:t>
            </w:r>
            <w:r w:rsidR="00EF3C93">
              <w:rPr>
                <w:iCs/>
                <w:sz w:val="22"/>
                <w:szCs w:val="22"/>
              </w:rPr>
              <w:t>2</w:t>
            </w:r>
            <w:r w:rsidR="00886C31">
              <w:rPr>
                <w:iCs/>
                <w:sz w:val="22"/>
                <w:szCs w:val="22"/>
              </w:rPr>
              <w:t xml:space="preserve">% </w:t>
            </w:r>
            <w:r>
              <w:rPr>
                <w:iCs/>
                <w:sz w:val="22"/>
                <w:szCs w:val="22"/>
              </w:rPr>
              <w:t>lower than that of the whole school.</w:t>
            </w:r>
            <w:r w:rsidR="00C92A87">
              <w:rPr>
                <w:iCs/>
                <w:sz w:val="22"/>
                <w:szCs w:val="22"/>
              </w:rPr>
              <w:t xml:space="preserve"> </w:t>
            </w:r>
            <w:r w:rsidR="008073CD">
              <w:rPr>
                <w:iCs/>
                <w:sz w:val="22"/>
                <w:szCs w:val="22"/>
              </w:rPr>
              <w:t>(End of 202</w:t>
            </w:r>
            <w:r w:rsidR="00A4537D">
              <w:rPr>
                <w:iCs/>
                <w:sz w:val="22"/>
                <w:szCs w:val="22"/>
              </w:rPr>
              <w:t>5</w:t>
            </w:r>
            <w:r w:rsidR="00C25AC4">
              <w:rPr>
                <w:iCs/>
                <w:sz w:val="22"/>
                <w:szCs w:val="22"/>
              </w:rPr>
              <w:t xml:space="preserve"> attendance data)</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72A21E10" w:rsidR="00E66558" w:rsidRDefault="001D4D5F">
            <w:pPr>
              <w:pStyle w:val="TableRowCentered"/>
              <w:jc w:val="left"/>
              <w:rPr>
                <w:sz w:val="22"/>
                <w:szCs w:val="22"/>
              </w:rPr>
            </w:pPr>
            <w:r w:rsidRPr="001D4D5F">
              <w:rPr>
                <w:sz w:val="22"/>
                <w:szCs w:val="22"/>
              </w:rPr>
              <w:t>2</w:t>
            </w:r>
            <w:r w:rsidR="00EF3C93">
              <w:rPr>
                <w:sz w:val="22"/>
                <w:szCs w:val="22"/>
              </w:rPr>
              <w:t>4</w:t>
            </w:r>
            <w:r w:rsidR="005C4DBC" w:rsidRPr="001D4D5F">
              <w:rPr>
                <w:sz w:val="22"/>
                <w:szCs w:val="22"/>
              </w:rPr>
              <w:t>%</w:t>
            </w:r>
            <w:r w:rsidR="005C4DBC">
              <w:rPr>
                <w:sz w:val="22"/>
                <w:szCs w:val="22"/>
              </w:rPr>
              <w:t xml:space="preserve"> of our pupil premium children have an additional special educational need</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1584F490" w:rsidR="00E66558" w:rsidRPr="003B6BC9" w:rsidRDefault="003B6BC9" w:rsidP="003B6BC9">
            <w:pPr>
              <w:autoSpaceDN/>
              <w:spacing w:before="60" w:line="240" w:lineRule="auto"/>
              <w:rPr>
                <w:rFonts w:cs="Arial"/>
                <w:iCs/>
                <w:color w:val="auto"/>
                <w:sz w:val="22"/>
                <w:szCs w:val="22"/>
                <w:lang w:val="en-US"/>
              </w:rPr>
            </w:pPr>
            <w:r>
              <w:rPr>
                <w:rFonts w:cs="Arial"/>
                <w:iCs/>
                <w:color w:val="auto"/>
                <w:sz w:val="22"/>
                <w:szCs w:val="22"/>
                <w:lang w:val="en-US"/>
              </w:rPr>
              <w:t xml:space="preserve">Our assessments, </w:t>
            </w:r>
            <w:r w:rsidRPr="003B6BC9">
              <w:rPr>
                <w:rFonts w:cs="Arial"/>
                <w:iCs/>
                <w:color w:val="auto"/>
                <w:sz w:val="22"/>
                <w:szCs w:val="22"/>
                <w:lang w:val="en-US"/>
              </w:rPr>
              <w:t>observations and discussions with pupils and families have identified social and emotional issues for many pupils, notably due to a lack of enrichment opportunities. These challenges particularly affect disadvantaged pupils, including their attainment.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417FC931" w:rsidR="00E66558" w:rsidRDefault="00C92A87">
            <w:pPr>
              <w:pStyle w:val="TableRowCentered"/>
              <w:jc w:val="left"/>
              <w:rPr>
                <w:iCs/>
                <w:sz w:val="22"/>
              </w:rPr>
            </w:pPr>
            <w:r w:rsidRPr="001D4D5F">
              <w:rPr>
                <w:sz w:val="22"/>
              </w:rPr>
              <w:t xml:space="preserve">Over </w:t>
            </w:r>
            <w:r w:rsidR="001D4D5F">
              <w:rPr>
                <w:sz w:val="22"/>
              </w:rPr>
              <w:t>75</w:t>
            </w:r>
            <w:r w:rsidRPr="001D4D5F">
              <w:rPr>
                <w:sz w:val="22"/>
              </w:rPr>
              <w:t>%</w:t>
            </w:r>
            <w:r w:rsidRPr="00C92A87">
              <w:rPr>
                <w:sz w:val="22"/>
              </w:rPr>
              <w:t xml:space="preserve"> of our PP children have experienced social, emotional or behavioural difficulties and their families have needed support from Social Services, Early Help, External Counselling Services or the Scho</w:t>
            </w:r>
            <w:r w:rsidR="003463CD">
              <w:rPr>
                <w:sz w:val="22"/>
              </w:rPr>
              <w:t>ol Attendance and Absence Team, with 32% of our PP children also recognised at Young Carers.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15494143" w:rsidR="00E66558" w:rsidRDefault="004C1386" w:rsidP="004C1386">
            <w:pPr>
              <w:pStyle w:val="TableRowCentered"/>
              <w:jc w:val="left"/>
              <w:rPr>
                <w:iCs/>
                <w:sz w:val="22"/>
              </w:rPr>
            </w:pPr>
            <w:r w:rsidRPr="004C1386">
              <w:rPr>
                <w:sz w:val="22"/>
              </w:rPr>
              <w:t>The attainment</w:t>
            </w:r>
            <w:r>
              <w:rPr>
                <w:sz w:val="22"/>
              </w:rPr>
              <w:t xml:space="preserve"> gap between Pupil Premium (PP)</w:t>
            </w:r>
            <w:r w:rsidRPr="004C1386">
              <w:rPr>
                <w:sz w:val="22"/>
              </w:rPr>
              <w:t xml:space="preserve"> and Non-Pupil Premium (Non-PP)</w:t>
            </w:r>
            <w:r>
              <w:rPr>
                <w:sz w:val="22"/>
              </w:rPr>
              <w:t xml:space="preserve"> pupils</w:t>
            </w:r>
            <w:r w:rsidRPr="004C1386">
              <w:rPr>
                <w:sz w:val="22"/>
              </w:rPr>
              <w:t xml:space="preserve"> </w:t>
            </w:r>
            <w:r>
              <w:rPr>
                <w:sz w:val="22"/>
              </w:rPr>
              <w:t>is closing but still exists.</w:t>
            </w:r>
            <w:r w:rsidRPr="004C1386">
              <w:rPr>
                <w:sz w:val="22"/>
              </w:rPr>
              <w:t xml:space="preserve"> The challenge, therefore, is to close this </w:t>
            </w:r>
            <w:r>
              <w:rPr>
                <w:sz w:val="22"/>
              </w:rPr>
              <w:t xml:space="preserve">gap and ensure that PP pupils </w:t>
            </w:r>
            <w:r w:rsidRPr="004C1386">
              <w:rPr>
                <w:sz w:val="22"/>
              </w:rPr>
              <w:t xml:space="preserve">achieve outcomes that are in line with their Non-PP peers, particularly in </w:t>
            </w:r>
            <w:r>
              <w:rPr>
                <w:sz w:val="22"/>
              </w:rPr>
              <w:t>reading, writing and maths.</w:t>
            </w:r>
          </w:p>
        </w:tc>
      </w:tr>
    </w:tbl>
    <w:p w14:paraId="2A7D54FF" w14:textId="77777777" w:rsidR="00E66558" w:rsidRPr="00E30695" w:rsidRDefault="009D71E8">
      <w:pPr>
        <w:pStyle w:val="Heading2"/>
        <w:spacing w:before="600"/>
        <w:rPr>
          <w:color w:val="00B050"/>
        </w:rPr>
      </w:pPr>
      <w:r w:rsidRPr="00E30695">
        <w:rPr>
          <w:color w:val="00B050"/>
        </w:rP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E30695">
        <w:tc>
          <w:tcPr>
            <w:tcW w:w="4815"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1576995C" w:rsidR="00E66558" w:rsidRPr="003B6BC9" w:rsidRDefault="00247258" w:rsidP="00ED11F5">
            <w:pPr>
              <w:pStyle w:val="TableRow"/>
              <w:numPr>
                <w:ilvl w:val="0"/>
                <w:numId w:val="17"/>
              </w:numPr>
              <w:rPr>
                <w:sz w:val="22"/>
                <w:szCs w:val="22"/>
              </w:rPr>
            </w:pPr>
            <w:r w:rsidRPr="003B6BC9">
              <w:rPr>
                <w:rFonts w:cs="Arial"/>
                <w:color w:val="auto"/>
                <w:sz w:val="22"/>
                <w:szCs w:val="22"/>
              </w:rPr>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74177" w14:textId="77777777" w:rsidR="00247258" w:rsidRPr="003B6BC9" w:rsidRDefault="00247258" w:rsidP="00247258">
            <w:pPr>
              <w:autoSpaceDN/>
              <w:spacing w:before="60" w:after="60" w:line="240" w:lineRule="auto"/>
              <w:rPr>
                <w:rFonts w:cs="Arial"/>
                <w:color w:val="auto"/>
                <w:sz w:val="22"/>
                <w:szCs w:val="22"/>
              </w:rPr>
            </w:pPr>
            <w:r w:rsidRPr="003B6BC9">
              <w:rPr>
                <w:rFonts w:cs="Arial"/>
                <w:color w:val="auto"/>
                <w:sz w:val="22"/>
                <w:szCs w:val="22"/>
              </w:rPr>
              <w:t>Sustained high attendance by 2026/27 demonstrated by:</w:t>
            </w:r>
          </w:p>
          <w:p w14:paraId="0E0746D4" w14:textId="7391E3CA" w:rsidR="00247258" w:rsidRPr="003B6BC9" w:rsidRDefault="00247258" w:rsidP="00247258">
            <w:pPr>
              <w:pStyle w:val="ListParagraph"/>
              <w:numPr>
                <w:ilvl w:val="0"/>
                <w:numId w:val="16"/>
              </w:numPr>
              <w:autoSpaceDN/>
              <w:spacing w:before="60" w:line="240" w:lineRule="auto"/>
              <w:rPr>
                <w:rFonts w:cs="Arial"/>
                <w:color w:val="auto"/>
                <w:sz w:val="22"/>
                <w:szCs w:val="22"/>
              </w:rPr>
            </w:pPr>
            <w:r w:rsidRPr="003B6BC9">
              <w:rPr>
                <w:rFonts w:cs="Arial"/>
                <w:color w:val="auto"/>
                <w:sz w:val="22"/>
                <w:szCs w:val="22"/>
              </w:rPr>
              <w:t xml:space="preserve">the overall unauthorised absence rate for all pupils being no more than </w:t>
            </w:r>
            <w:r w:rsidR="006944A2" w:rsidRPr="003B6BC9">
              <w:rPr>
                <w:rFonts w:cs="Arial"/>
                <w:color w:val="auto"/>
                <w:sz w:val="22"/>
                <w:szCs w:val="22"/>
              </w:rPr>
              <w:t>4.5</w:t>
            </w:r>
            <w:r w:rsidRPr="003B6BC9">
              <w:rPr>
                <w:rFonts w:cs="Arial"/>
                <w:color w:val="auto"/>
                <w:sz w:val="22"/>
                <w:szCs w:val="22"/>
              </w:rPr>
              <w:t xml:space="preserve">%, and the attendance gap between disadvantaged pupils and their non-disadvantaged peers being </w:t>
            </w:r>
            <w:r w:rsidR="00B04FB1" w:rsidRPr="003B6BC9">
              <w:rPr>
                <w:rFonts w:cs="Arial"/>
                <w:color w:val="auto"/>
                <w:sz w:val="22"/>
                <w:szCs w:val="22"/>
              </w:rPr>
              <w:t>reduced by 2</w:t>
            </w:r>
            <w:r w:rsidRPr="003B6BC9">
              <w:rPr>
                <w:rFonts w:cs="Arial"/>
                <w:color w:val="auto"/>
                <w:sz w:val="22"/>
                <w:szCs w:val="22"/>
              </w:rPr>
              <w:t>%.</w:t>
            </w:r>
          </w:p>
          <w:p w14:paraId="2A7D5505" w14:textId="11D0DEFA" w:rsidR="00A028AB" w:rsidRPr="003B6BC9" w:rsidRDefault="00247258" w:rsidP="00247258">
            <w:pPr>
              <w:pStyle w:val="TableRowCentered"/>
              <w:numPr>
                <w:ilvl w:val="0"/>
                <w:numId w:val="16"/>
              </w:numPr>
              <w:jc w:val="left"/>
              <w:rPr>
                <w:sz w:val="22"/>
                <w:szCs w:val="22"/>
              </w:rPr>
            </w:pPr>
            <w:r w:rsidRPr="003B6BC9">
              <w:rPr>
                <w:rFonts w:cs="Arial"/>
                <w:color w:val="auto"/>
                <w:sz w:val="22"/>
                <w:szCs w:val="22"/>
              </w:rPr>
              <w:t>the percentage of all pupils who are p</w:t>
            </w:r>
            <w:r w:rsidR="006944A2" w:rsidRPr="003B6BC9">
              <w:rPr>
                <w:rFonts w:cs="Arial"/>
                <w:color w:val="auto"/>
                <w:sz w:val="22"/>
                <w:szCs w:val="22"/>
              </w:rPr>
              <w:t>ersistently absent being below 15</w:t>
            </w:r>
            <w:r w:rsidRPr="003B6BC9">
              <w:rPr>
                <w:rFonts w:cs="Arial"/>
                <w:color w:val="auto"/>
                <w:sz w:val="22"/>
                <w:szCs w:val="22"/>
              </w:rPr>
              <w:t>% and the figure among disadvant</w:t>
            </w:r>
            <w:r w:rsidR="003B6BC9" w:rsidRPr="003B6BC9">
              <w:rPr>
                <w:rFonts w:cs="Arial"/>
                <w:color w:val="auto"/>
                <w:sz w:val="22"/>
                <w:szCs w:val="22"/>
              </w:rPr>
              <w:t>aged pupils being no more than 2</w:t>
            </w:r>
            <w:r w:rsidRPr="003B6BC9">
              <w:rPr>
                <w:rFonts w:cs="Arial"/>
                <w:color w:val="auto"/>
                <w:sz w:val="22"/>
                <w:szCs w:val="22"/>
              </w:rPr>
              <w:t>% lower than their peers.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195A75E9" w:rsidR="00E66558" w:rsidRDefault="00C84904" w:rsidP="00C31BDF">
            <w:pPr>
              <w:pStyle w:val="TableRow"/>
              <w:numPr>
                <w:ilvl w:val="0"/>
                <w:numId w:val="17"/>
              </w:numPr>
              <w:rPr>
                <w:sz w:val="22"/>
                <w:szCs w:val="22"/>
              </w:rPr>
            </w:pPr>
            <w:r>
              <w:rPr>
                <w:sz w:val="22"/>
                <w:szCs w:val="22"/>
              </w:rPr>
              <w:t xml:space="preserve">To achieve and sustain improved progress for all pupils, particularly those who are SEND and in receipt of PP funding. </w:t>
            </w:r>
            <w:r w:rsidR="00C31BDF">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62F28" w14:textId="3518F004" w:rsidR="009C4484" w:rsidRDefault="009C4484" w:rsidP="00462112">
            <w:pPr>
              <w:pStyle w:val="TableRowCentered"/>
              <w:numPr>
                <w:ilvl w:val="0"/>
                <w:numId w:val="18"/>
              </w:numPr>
              <w:jc w:val="left"/>
              <w:rPr>
                <w:sz w:val="22"/>
                <w:szCs w:val="22"/>
              </w:rPr>
            </w:pPr>
            <w:r w:rsidRPr="00462112">
              <w:rPr>
                <w:sz w:val="22"/>
                <w:szCs w:val="22"/>
              </w:rPr>
              <w:t>SEND PP pupils benefit from personalised interventions that add</w:t>
            </w:r>
            <w:r w:rsidR="00462112" w:rsidRPr="00462112">
              <w:rPr>
                <w:sz w:val="22"/>
                <w:szCs w:val="22"/>
              </w:rPr>
              <w:t xml:space="preserve">ress their specific needs. </w:t>
            </w:r>
            <w:r w:rsidRPr="00462112">
              <w:rPr>
                <w:rStyle w:val="Strong"/>
                <w:b w:val="0"/>
                <w:sz w:val="22"/>
                <w:szCs w:val="22"/>
              </w:rPr>
              <w:t>100% of SEND PP students</w:t>
            </w:r>
            <w:r w:rsidRPr="00462112">
              <w:rPr>
                <w:b/>
                <w:sz w:val="22"/>
                <w:szCs w:val="22"/>
              </w:rPr>
              <w:t xml:space="preserve"> </w:t>
            </w:r>
            <w:r w:rsidRPr="00462112">
              <w:rPr>
                <w:sz w:val="22"/>
                <w:szCs w:val="22"/>
              </w:rPr>
              <w:t xml:space="preserve">show </w:t>
            </w:r>
            <w:r w:rsidRPr="00462112">
              <w:rPr>
                <w:sz w:val="22"/>
                <w:szCs w:val="22"/>
              </w:rPr>
              <w:lastRenderedPageBreak/>
              <w:t>measurable improvement in the targeted areas by the end of the academic year.</w:t>
            </w:r>
            <w:r w:rsidR="00462112" w:rsidRPr="00462112">
              <w:rPr>
                <w:sz w:val="22"/>
                <w:szCs w:val="22"/>
              </w:rPr>
              <w:t xml:space="preserve"> </w:t>
            </w:r>
          </w:p>
          <w:p w14:paraId="52C581AA" w14:textId="77777777" w:rsidR="00462112" w:rsidRPr="00462112" w:rsidRDefault="00462112" w:rsidP="00462112">
            <w:pPr>
              <w:numPr>
                <w:ilvl w:val="0"/>
                <w:numId w:val="18"/>
              </w:numPr>
              <w:suppressAutoHyphens w:val="0"/>
              <w:autoSpaceDN/>
              <w:spacing w:before="100" w:beforeAutospacing="1" w:after="100" w:afterAutospacing="1" w:line="240" w:lineRule="auto"/>
              <w:rPr>
                <w:rFonts w:cs="Arial"/>
                <w:color w:val="auto"/>
                <w:sz w:val="22"/>
                <w:szCs w:val="22"/>
              </w:rPr>
            </w:pPr>
            <w:r w:rsidRPr="00462112">
              <w:rPr>
                <w:rFonts w:cs="Arial"/>
                <w:bCs/>
                <w:color w:val="auto"/>
                <w:sz w:val="22"/>
                <w:szCs w:val="22"/>
              </w:rPr>
              <w:t>Termly Provision Maps:</w:t>
            </w:r>
            <w:r w:rsidRPr="00462112">
              <w:rPr>
                <w:rFonts w:cs="Arial"/>
                <w:color w:val="auto"/>
                <w:sz w:val="22"/>
                <w:szCs w:val="22"/>
              </w:rPr>
              <w:t xml:space="preserve"> Termly provision maps are developed with clear, </w:t>
            </w:r>
            <w:r w:rsidRPr="00462112">
              <w:rPr>
                <w:rFonts w:cs="Arial"/>
                <w:bCs/>
                <w:color w:val="auto"/>
                <w:sz w:val="22"/>
                <w:szCs w:val="22"/>
              </w:rPr>
              <w:t>SMART outcomes</w:t>
            </w:r>
            <w:r w:rsidRPr="00462112">
              <w:rPr>
                <w:rFonts w:cs="Arial"/>
                <w:color w:val="auto"/>
                <w:sz w:val="22"/>
                <w:szCs w:val="22"/>
              </w:rPr>
              <w:t xml:space="preserve"> (Specific, Measurable, Achievable, Relevant, Time-bound) for each targeted intervention. These maps ensure that interventions are </w:t>
            </w:r>
            <w:r w:rsidRPr="00462112">
              <w:rPr>
                <w:rFonts w:cs="Arial"/>
                <w:bCs/>
                <w:color w:val="auto"/>
                <w:sz w:val="22"/>
                <w:szCs w:val="22"/>
              </w:rPr>
              <w:t>short, focused, and intensive</w:t>
            </w:r>
            <w:r w:rsidRPr="00462112">
              <w:rPr>
                <w:rFonts w:cs="Arial"/>
                <w:color w:val="auto"/>
                <w:sz w:val="22"/>
                <w:szCs w:val="22"/>
              </w:rPr>
              <w:t>, with clear goals that align with individual student needs without narrowing the curriculum.</w:t>
            </w:r>
          </w:p>
          <w:p w14:paraId="18BC8D0B" w14:textId="20A85251" w:rsidR="00462112" w:rsidRPr="00462112" w:rsidRDefault="00462112" w:rsidP="00462112">
            <w:pPr>
              <w:numPr>
                <w:ilvl w:val="0"/>
                <w:numId w:val="18"/>
              </w:numPr>
              <w:suppressAutoHyphens w:val="0"/>
              <w:autoSpaceDN/>
              <w:spacing w:before="100" w:beforeAutospacing="1" w:after="100" w:afterAutospacing="1" w:line="240" w:lineRule="auto"/>
              <w:rPr>
                <w:rFonts w:cs="Arial"/>
                <w:color w:val="auto"/>
                <w:sz w:val="22"/>
                <w:szCs w:val="22"/>
              </w:rPr>
            </w:pPr>
            <w:r w:rsidRPr="00462112">
              <w:rPr>
                <w:rFonts w:cs="Arial"/>
                <w:color w:val="auto"/>
                <w:sz w:val="22"/>
                <w:szCs w:val="22"/>
              </w:rPr>
              <w:t xml:space="preserve">Each intervention is regularly monitored and reviewed for effectiveness, with </w:t>
            </w:r>
            <w:r w:rsidRPr="00462112">
              <w:rPr>
                <w:rFonts w:cs="Arial"/>
                <w:bCs/>
                <w:color w:val="auto"/>
                <w:sz w:val="22"/>
                <w:szCs w:val="22"/>
              </w:rPr>
              <w:t>progress data</w:t>
            </w:r>
            <w:r w:rsidRPr="00462112">
              <w:rPr>
                <w:rFonts w:cs="Arial"/>
                <w:color w:val="auto"/>
                <w:sz w:val="22"/>
                <w:szCs w:val="22"/>
              </w:rPr>
              <w:t xml:space="preserve"> and </w:t>
            </w:r>
            <w:r w:rsidRPr="00462112">
              <w:rPr>
                <w:rFonts w:cs="Arial"/>
                <w:bCs/>
                <w:color w:val="auto"/>
                <w:sz w:val="22"/>
                <w:szCs w:val="22"/>
              </w:rPr>
              <w:t>student feedback</w:t>
            </w:r>
            <w:r w:rsidRPr="00462112">
              <w:rPr>
                <w:rFonts w:cs="Arial"/>
                <w:color w:val="auto"/>
                <w:sz w:val="22"/>
                <w:szCs w:val="22"/>
              </w:rPr>
              <w:t xml:space="preserve"> used to adjust provision as necessary, ensuring interventions are consistently meeting their objectives and having a positive impact on academic and personal development.</w:t>
            </w:r>
          </w:p>
          <w:p w14:paraId="18719521" w14:textId="77777777" w:rsidR="00C84904" w:rsidRDefault="00C84904" w:rsidP="00462112">
            <w:pPr>
              <w:pStyle w:val="TableRowCentered"/>
              <w:numPr>
                <w:ilvl w:val="0"/>
                <w:numId w:val="18"/>
              </w:numPr>
              <w:jc w:val="left"/>
              <w:rPr>
                <w:sz w:val="22"/>
                <w:szCs w:val="22"/>
              </w:rPr>
            </w:pPr>
            <w:r>
              <w:rPr>
                <w:sz w:val="22"/>
                <w:szCs w:val="22"/>
              </w:rPr>
              <w:t xml:space="preserve">Outside agency support is prioritised for this group. </w:t>
            </w:r>
          </w:p>
          <w:p w14:paraId="0EA1D953" w14:textId="77777777" w:rsidR="00462112" w:rsidRPr="00462112" w:rsidRDefault="00462112" w:rsidP="00462112">
            <w:pPr>
              <w:suppressAutoHyphens w:val="0"/>
              <w:autoSpaceDN/>
              <w:spacing w:after="0" w:line="240" w:lineRule="auto"/>
              <w:rPr>
                <w:rFonts w:cs="Arial"/>
                <w:color w:val="auto"/>
                <w:sz w:val="22"/>
                <w:szCs w:val="22"/>
              </w:rPr>
            </w:pPr>
            <w:r w:rsidRPr="00462112">
              <w:rPr>
                <w:rFonts w:ascii="Times New Roman" w:hAnsi="Symbol"/>
                <w:color w:val="auto"/>
              </w:rPr>
              <w:t></w:t>
            </w:r>
            <w:r w:rsidRPr="00462112">
              <w:rPr>
                <w:rFonts w:ascii="Times New Roman" w:hAnsi="Times New Roman"/>
                <w:color w:val="auto"/>
              </w:rPr>
              <w:t xml:space="preserve">  </w:t>
            </w:r>
            <w:r w:rsidRPr="00462112">
              <w:rPr>
                <w:rFonts w:cs="Arial"/>
                <w:color w:val="auto"/>
                <w:sz w:val="22"/>
                <w:szCs w:val="22"/>
              </w:rPr>
              <w:t xml:space="preserve">The full-time SENCO closely monitors the progress of SEND and PP students through a robust </w:t>
            </w:r>
            <w:r w:rsidRPr="00462112">
              <w:rPr>
                <w:rFonts w:cs="Arial"/>
                <w:bCs/>
                <w:color w:val="auto"/>
                <w:sz w:val="22"/>
                <w:szCs w:val="22"/>
              </w:rPr>
              <w:t>triangulation of monitoring methods</w:t>
            </w:r>
            <w:r w:rsidRPr="00462112">
              <w:rPr>
                <w:rFonts w:cs="Arial"/>
                <w:color w:val="auto"/>
                <w:sz w:val="22"/>
                <w:szCs w:val="22"/>
              </w:rPr>
              <w:t>, including:</w:t>
            </w:r>
          </w:p>
          <w:p w14:paraId="721AFB06" w14:textId="1135E50F" w:rsidR="00462112" w:rsidRPr="00462112" w:rsidRDefault="00462112" w:rsidP="00462112">
            <w:pPr>
              <w:numPr>
                <w:ilvl w:val="0"/>
                <w:numId w:val="18"/>
              </w:numPr>
              <w:suppressAutoHyphens w:val="0"/>
              <w:autoSpaceDN/>
              <w:spacing w:before="100" w:beforeAutospacing="1" w:after="100" w:afterAutospacing="1" w:line="240" w:lineRule="auto"/>
              <w:rPr>
                <w:rFonts w:cs="Arial"/>
                <w:color w:val="auto"/>
                <w:sz w:val="22"/>
                <w:szCs w:val="22"/>
              </w:rPr>
            </w:pPr>
            <w:r w:rsidRPr="00462112">
              <w:rPr>
                <w:rFonts w:cs="Arial"/>
                <w:bCs/>
                <w:color w:val="auto"/>
                <w:sz w:val="22"/>
                <w:szCs w:val="22"/>
              </w:rPr>
              <w:t>Data Analysis:</w:t>
            </w:r>
            <w:r w:rsidRPr="00462112">
              <w:rPr>
                <w:rFonts w:cs="Arial"/>
                <w:color w:val="auto"/>
                <w:sz w:val="22"/>
                <w:szCs w:val="22"/>
              </w:rPr>
              <w:t xml:space="preserve"> Regular r</w:t>
            </w:r>
            <w:r>
              <w:rPr>
                <w:rFonts w:cs="Arial"/>
                <w:color w:val="auto"/>
                <w:sz w:val="22"/>
                <w:szCs w:val="22"/>
              </w:rPr>
              <w:t>eview of academic progress data</w:t>
            </w:r>
          </w:p>
          <w:p w14:paraId="101D0606" w14:textId="23A89846" w:rsidR="00462112" w:rsidRPr="00462112" w:rsidRDefault="00462112" w:rsidP="00462112">
            <w:pPr>
              <w:numPr>
                <w:ilvl w:val="0"/>
                <w:numId w:val="18"/>
              </w:numPr>
              <w:suppressAutoHyphens w:val="0"/>
              <w:autoSpaceDN/>
              <w:spacing w:before="100" w:beforeAutospacing="1" w:after="100" w:afterAutospacing="1" w:line="240" w:lineRule="auto"/>
              <w:rPr>
                <w:rFonts w:cs="Arial"/>
                <w:color w:val="auto"/>
                <w:sz w:val="22"/>
                <w:szCs w:val="22"/>
              </w:rPr>
            </w:pPr>
            <w:r w:rsidRPr="00462112">
              <w:rPr>
                <w:rFonts w:cs="Arial"/>
                <w:bCs/>
                <w:color w:val="auto"/>
                <w:sz w:val="22"/>
                <w:szCs w:val="22"/>
              </w:rPr>
              <w:t>Classroom Observations:</w:t>
            </w:r>
            <w:r w:rsidRPr="00462112">
              <w:rPr>
                <w:rFonts w:cs="Arial"/>
                <w:color w:val="auto"/>
                <w:sz w:val="22"/>
                <w:szCs w:val="22"/>
              </w:rPr>
              <w:t xml:space="preserve"> Ongoing observation of </w:t>
            </w:r>
            <w:r>
              <w:rPr>
                <w:rFonts w:cs="Arial"/>
                <w:color w:val="auto"/>
                <w:sz w:val="22"/>
                <w:szCs w:val="22"/>
              </w:rPr>
              <w:t xml:space="preserve">pupil </w:t>
            </w:r>
            <w:r w:rsidRPr="00462112">
              <w:rPr>
                <w:rFonts w:cs="Arial"/>
                <w:color w:val="auto"/>
                <w:sz w:val="22"/>
                <w:szCs w:val="22"/>
              </w:rPr>
              <w:t>engagement, behavior, and quality of support in lessons.</w:t>
            </w:r>
          </w:p>
          <w:p w14:paraId="2A7D5508" w14:textId="551CCD46" w:rsidR="00867B19" w:rsidRPr="00462112" w:rsidRDefault="00462112" w:rsidP="00462112">
            <w:pPr>
              <w:numPr>
                <w:ilvl w:val="0"/>
                <w:numId w:val="18"/>
              </w:numPr>
              <w:suppressAutoHyphens w:val="0"/>
              <w:autoSpaceDN/>
              <w:spacing w:before="100" w:beforeAutospacing="1" w:after="100" w:afterAutospacing="1" w:line="240" w:lineRule="auto"/>
              <w:rPr>
                <w:rFonts w:cs="Arial"/>
                <w:color w:val="auto"/>
                <w:sz w:val="22"/>
                <w:szCs w:val="22"/>
              </w:rPr>
            </w:pPr>
            <w:r w:rsidRPr="00462112">
              <w:rPr>
                <w:rFonts w:cs="Arial"/>
                <w:color w:val="auto"/>
                <w:sz w:val="22"/>
                <w:szCs w:val="22"/>
              </w:rPr>
              <w:t>Collecting input from teachers, teaching a</w:t>
            </w:r>
            <w:r>
              <w:rPr>
                <w:rFonts w:cs="Arial"/>
                <w:color w:val="auto"/>
                <w:sz w:val="22"/>
                <w:szCs w:val="22"/>
              </w:rPr>
              <w:t>ssistants, parents, and pupils</w:t>
            </w:r>
            <w:r w:rsidRPr="00462112">
              <w:rPr>
                <w:rFonts w:cs="Arial"/>
                <w:color w:val="auto"/>
                <w:sz w:val="22"/>
                <w:szCs w:val="22"/>
              </w:rPr>
              <w:t xml:space="preserve"> themselves to assess well-being, motivation, and areas for further supp</w:t>
            </w:r>
            <w:r>
              <w:rPr>
                <w:rFonts w:cs="Arial"/>
                <w:color w:val="auto"/>
                <w:sz w:val="22"/>
                <w:szCs w:val="22"/>
              </w:rPr>
              <w:t>ort.</w:t>
            </w:r>
          </w:p>
        </w:tc>
      </w:tr>
      <w:tr w:rsidR="00E66558" w14:paraId="2A7D550C" w14:textId="77777777" w:rsidTr="003B6BC9">
        <w:trPr>
          <w:trHeight w:val="1854"/>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3BEEEB09" w:rsidR="00E66558" w:rsidRPr="003B6BC9" w:rsidRDefault="003B6BC9" w:rsidP="00DC069E">
            <w:pPr>
              <w:pStyle w:val="TableRow"/>
              <w:numPr>
                <w:ilvl w:val="0"/>
                <w:numId w:val="17"/>
              </w:numPr>
              <w:rPr>
                <w:sz w:val="22"/>
                <w:szCs w:val="22"/>
              </w:rPr>
            </w:pPr>
            <w:r w:rsidRPr="003B6BC9">
              <w:rPr>
                <w:rFonts w:cs="Arial"/>
                <w:color w:val="auto"/>
                <w:sz w:val="22"/>
                <w:szCs w:val="22"/>
              </w:rPr>
              <w:lastRenderedPageBreak/>
              <w:t xml:space="preserve">To achieve and sustain improved personal development </w:t>
            </w:r>
            <w:r w:rsidR="00DC069E">
              <w:rPr>
                <w:rFonts w:cs="Arial"/>
                <w:color w:val="auto"/>
                <w:sz w:val="22"/>
                <w:szCs w:val="22"/>
              </w:rPr>
              <w:t xml:space="preserve">opportunities </w:t>
            </w:r>
            <w:r w:rsidRPr="003B6BC9">
              <w:rPr>
                <w:rFonts w:cs="Arial"/>
                <w:color w:val="auto"/>
                <w:sz w:val="22"/>
                <w:szCs w:val="22"/>
              </w:rPr>
              <w:t>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F5183" w14:textId="1C2D0B3F" w:rsidR="003B6BC9" w:rsidRPr="003B6BC9" w:rsidRDefault="003B6BC9" w:rsidP="003B6BC9">
            <w:pPr>
              <w:autoSpaceDN/>
              <w:spacing w:before="60" w:after="60" w:line="240" w:lineRule="auto"/>
              <w:rPr>
                <w:rFonts w:cs="Arial"/>
                <w:color w:val="auto"/>
                <w:sz w:val="22"/>
                <w:szCs w:val="22"/>
              </w:rPr>
            </w:pPr>
            <w:r w:rsidRPr="003B6BC9">
              <w:rPr>
                <w:rFonts w:cs="Arial"/>
                <w:color w:val="auto"/>
                <w:sz w:val="22"/>
                <w:szCs w:val="22"/>
              </w:rPr>
              <w:t xml:space="preserve">Sustained high levels of </w:t>
            </w:r>
            <w:r w:rsidR="00DC069E">
              <w:rPr>
                <w:rFonts w:cs="Arial"/>
                <w:color w:val="auto"/>
                <w:sz w:val="22"/>
                <w:szCs w:val="22"/>
              </w:rPr>
              <w:t>personal development opportunities</w:t>
            </w:r>
            <w:r w:rsidRPr="003B6BC9">
              <w:rPr>
                <w:rFonts w:cs="Arial"/>
                <w:color w:val="auto"/>
                <w:sz w:val="22"/>
                <w:szCs w:val="22"/>
              </w:rPr>
              <w:t xml:space="preserve"> by 2026/27 demonstrated by:</w:t>
            </w:r>
          </w:p>
          <w:p w14:paraId="2A7D550B" w14:textId="613C5DCC" w:rsidR="008064C2" w:rsidRPr="003B6BC9" w:rsidRDefault="003B6BC9" w:rsidP="003B6BC9">
            <w:pPr>
              <w:pStyle w:val="ListParagraph"/>
              <w:numPr>
                <w:ilvl w:val="0"/>
                <w:numId w:val="26"/>
              </w:numPr>
              <w:autoSpaceDN/>
              <w:spacing w:before="60" w:after="60" w:line="240" w:lineRule="auto"/>
              <w:rPr>
                <w:sz w:val="22"/>
                <w:szCs w:val="22"/>
              </w:rPr>
            </w:pPr>
            <w:r w:rsidRPr="003B6BC9">
              <w:rPr>
                <w:rFonts w:cs="Arial"/>
                <w:color w:val="auto"/>
                <w:sz w:val="22"/>
                <w:szCs w:val="22"/>
              </w:rPr>
              <w:t xml:space="preserve">a significant increase in participation in enrichment activities, particularly among disadvantaged pupils.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0047CD1A" w:rsidR="00E66558" w:rsidRPr="004F779D" w:rsidRDefault="00DC069E" w:rsidP="00DC069E">
            <w:pPr>
              <w:pStyle w:val="TableRow"/>
              <w:numPr>
                <w:ilvl w:val="0"/>
                <w:numId w:val="17"/>
              </w:numPr>
              <w:rPr>
                <w:sz w:val="22"/>
                <w:szCs w:val="22"/>
              </w:rPr>
            </w:pPr>
            <w:r w:rsidRPr="003B6BC9">
              <w:rPr>
                <w:rFonts w:cs="Arial"/>
                <w:color w:val="auto"/>
                <w:sz w:val="22"/>
                <w:szCs w:val="22"/>
              </w:rPr>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9D878" w14:textId="77777777" w:rsidR="00DC069E" w:rsidRPr="003B6BC9" w:rsidRDefault="00DC069E" w:rsidP="00DC069E">
            <w:pPr>
              <w:autoSpaceDN/>
              <w:spacing w:before="60" w:after="60" w:line="240" w:lineRule="auto"/>
              <w:rPr>
                <w:rFonts w:cs="Arial"/>
                <w:color w:val="auto"/>
                <w:sz w:val="22"/>
                <w:szCs w:val="22"/>
              </w:rPr>
            </w:pPr>
            <w:r w:rsidRPr="003B6BC9">
              <w:rPr>
                <w:rFonts w:cs="Arial"/>
                <w:color w:val="auto"/>
                <w:sz w:val="22"/>
                <w:szCs w:val="22"/>
              </w:rPr>
              <w:t>Sustained high levels of wellbeing by 2026/27 demonstrated by:</w:t>
            </w:r>
          </w:p>
          <w:p w14:paraId="2A7D550E" w14:textId="17224B0A" w:rsidR="00E66558" w:rsidRDefault="00DC069E" w:rsidP="00DC069E">
            <w:pPr>
              <w:pStyle w:val="TableRowCentered"/>
              <w:numPr>
                <w:ilvl w:val="0"/>
                <w:numId w:val="20"/>
              </w:numPr>
              <w:jc w:val="left"/>
              <w:rPr>
                <w:sz w:val="22"/>
                <w:szCs w:val="22"/>
              </w:rPr>
            </w:pPr>
            <w:r w:rsidRPr="003B6BC9">
              <w:rPr>
                <w:rFonts w:cs="Arial"/>
                <w:color w:val="auto"/>
                <w:sz w:val="22"/>
                <w:szCs w:val="22"/>
              </w:rPr>
              <w:t>qualitative data from student voice, student and parent surveys and teacher observations</w:t>
            </w:r>
          </w:p>
        </w:tc>
      </w:tr>
      <w:tr w:rsidR="00ED11F5" w14:paraId="4F875835"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C222" w14:textId="06210813" w:rsidR="00ED11F5" w:rsidRPr="00F525A6" w:rsidRDefault="00DC069E" w:rsidP="00DC069E">
            <w:pPr>
              <w:pStyle w:val="TableRow"/>
              <w:numPr>
                <w:ilvl w:val="0"/>
                <w:numId w:val="17"/>
              </w:numPr>
              <w:rPr>
                <w:sz w:val="22"/>
                <w:szCs w:val="22"/>
              </w:rPr>
            </w:pPr>
            <w:r>
              <w:rPr>
                <w:sz w:val="22"/>
                <w:szCs w:val="22"/>
              </w:rPr>
              <w:t>Improved writing and maths attainment for disadvantaged pupils at the end of KS2.</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96EAB" w14:textId="26941A4A" w:rsidR="00ED11F5" w:rsidRPr="0016557C" w:rsidRDefault="00DC069E" w:rsidP="0016557C">
            <w:pPr>
              <w:pStyle w:val="TableRowCentered"/>
              <w:numPr>
                <w:ilvl w:val="0"/>
                <w:numId w:val="20"/>
              </w:numPr>
              <w:jc w:val="left"/>
              <w:rPr>
                <w:sz w:val="22"/>
                <w:szCs w:val="22"/>
              </w:rPr>
            </w:pPr>
            <w:r>
              <w:rPr>
                <w:color w:val="000000"/>
                <w:sz w:val="22"/>
                <w:szCs w:val="22"/>
              </w:rPr>
              <w:t xml:space="preserve">KS2 writing and maths outcomes in 2026/2027 to show that the gap </w:t>
            </w:r>
            <w:r>
              <w:rPr>
                <w:color w:val="000000"/>
                <w:sz w:val="22"/>
                <w:szCs w:val="22"/>
              </w:rPr>
              <w:lastRenderedPageBreak/>
              <w:t>between PP and Non PP pupils is less than 10%.</w:t>
            </w:r>
          </w:p>
        </w:tc>
      </w:tr>
    </w:tbl>
    <w:p w14:paraId="54825BA3" w14:textId="77777777" w:rsidR="00A24ED8" w:rsidRDefault="00A24ED8">
      <w:pPr>
        <w:pStyle w:val="Heading2"/>
        <w:rPr>
          <w:color w:val="00B050"/>
        </w:rPr>
      </w:pPr>
    </w:p>
    <w:p w14:paraId="2A7D5512" w14:textId="3A547111" w:rsidR="00E66558" w:rsidRPr="00E30695" w:rsidRDefault="009D71E8">
      <w:pPr>
        <w:pStyle w:val="Heading2"/>
        <w:rPr>
          <w:color w:val="00B050"/>
        </w:rPr>
      </w:pPr>
      <w:r w:rsidRPr="00E30695">
        <w:rPr>
          <w:color w:val="00B050"/>
        </w:rP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Pr="00E30695" w:rsidRDefault="009D71E8">
      <w:pPr>
        <w:pStyle w:val="Heading3"/>
        <w:rPr>
          <w:color w:val="00B050"/>
        </w:rPr>
      </w:pPr>
      <w:r w:rsidRPr="00E30695">
        <w:rPr>
          <w:color w:val="00B050"/>
        </w:rPr>
        <w:t>Teaching (for example, CPD, recruitment and retention)</w:t>
      </w:r>
    </w:p>
    <w:p w14:paraId="2A7D5515" w14:textId="50AA9297" w:rsidR="00E66558" w:rsidRDefault="009D71E8">
      <w:r>
        <w:t>Budgeted cost: £</w:t>
      </w:r>
      <w:r w:rsidR="00EF3C93">
        <w:t>83,562</w:t>
      </w:r>
    </w:p>
    <w:tbl>
      <w:tblPr>
        <w:tblW w:w="5000" w:type="pct"/>
        <w:tblCellMar>
          <w:left w:w="10" w:type="dxa"/>
          <w:right w:w="10" w:type="dxa"/>
        </w:tblCellMar>
        <w:tblLook w:val="04A0" w:firstRow="1" w:lastRow="0" w:firstColumn="1" w:lastColumn="0" w:noHBand="0" w:noVBand="1"/>
      </w:tblPr>
      <w:tblGrid>
        <w:gridCol w:w="1637"/>
        <w:gridCol w:w="6318"/>
        <w:gridCol w:w="1531"/>
      </w:tblGrid>
      <w:tr w:rsidR="00E66558" w14:paraId="2A7D5519" w14:textId="77777777" w:rsidTr="005B3BA3">
        <w:tc>
          <w:tcPr>
            <w:tcW w:w="1637"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2A7D5516" w14:textId="77777777" w:rsidR="00E66558" w:rsidRDefault="009D71E8">
            <w:pPr>
              <w:pStyle w:val="TableHeader"/>
              <w:jc w:val="left"/>
            </w:pPr>
            <w:r>
              <w:t>Activity</w:t>
            </w:r>
          </w:p>
        </w:tc>
        <w:tc>
          <w:tcPr>
            <w:tcW w:w="6318"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5B3BA3">
        <w:tc>
          <w:tcPr>
            <w:tcW w:w="1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31C38F60" w:rsidR="00E66558" w:rsidRPr="00BB3259" w:rsidRDefault="00701D7B">
            <w:pPr>
              <w:pStyle w:val="TableRow"/>
              <w:rPr>
                <w:sz w:val="22"/>
              </w:rPr>
            </w:pPr>
            <w:r w:rsidRPr="00BB3259">
              <w:rPr>
                <w:sz w:val="22"/>
              </w:rPr>
              <w:t>Employ a specialist music teacher</w:t>
            </w:r>
          </w:p>
        </w:tc>
        <w:tc>
          <w:tcPr>
            <w:tcW w:w="6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39D2" w14:textId="77777777" w:rsidR="00E66558" w:rsidRDefault="00701D7B" w:rsidP="007D3491">
            <w:pPr>
              <w:pStyle w:val="TableRowCentered"/>
              <w:jc w:val="left"/>
              <w:rPr>
                <w:rFonts w:cs="Arial"/>
                <w:color w:val="000000" w:themeColor="text1"/>
                <w:sz w:val="22"/>
                <w:szCs w:val="22"/>
                <w:shd w:val="clear" w:color="auto" w:fill="FFFFFF" w:themeFill="background1"/>
              </w:rPr>
            </w:pPr>
            <w:r w:rsidRPr="00BB3259">
              <w:rPr>
                <w:sz w:val="22"/>
              </w:rPr>
              <w:t>Children to have access to expert and high level music teaching allowing their cultural capital to develop through exposure to a range of musicians and musical periods. The EEF has commented that access to high quality arts provision has “wider benefits such as more positive attitudes to learning and increased well-being h</w:t>
            </w:r>
            <w:r w:rsidR="007D3491">
              <w:rPr>
                <w:sz w:val="22"/>
              </w:rPr>
              <w:t>ave consistently been reported.</w:t>
            </w:r>
            <w:r w:rsidR="007D3491" w:rsidRPr="007D3491">
              <w:rPr>
                <w:rFonts w:cs="Arial"/>
                <w:color w:val="000000" w:themeColor="text1"/>
                <w:sz w:val="22"/>
                <w:szCs w:val="22"/>
                <w:shd w:val="clear" w:color="auto" w:fill="FAFAFA"/>
              </w:rPr>
              <w:t>”</w:t>
            </w:r>
            <w:r w:rsidR="007D3491">
              <w:rPr>
                <w:rFonts w:cs="Arial"/>
                <w:color w:val="000000" w:themeColor="text1"/>
                <w:sz w:val="22"/>
                <w:szCs w:val="22"/>
                <w:shd w:val="clear" w:color="auto" w:fill="FAFAFA"/>
              </w:rPr>
              <w:t xml:space="preserve"> </w:t>
            </w:r>
            <w:r w:rsidR="007D3491" w:rsidRPr="007D3491">
              <w:rPr>
                <w:rFonts w:cs="Arial"/>
                <w:color w:val="000000" w:themeColor="text1"/>
                <w:sz w:val="22"/>
                <w:szCs w:val="22"/>
                <w:shd w:val="clear" w:color="auto" w:fill="FFFFFF" w:themeFill="background1"/>
              </w:rPr>
              <w:t>The EEF also reported, “There is intrinsic value in teaching pupils creative and performance skills and ensuring disadvantaged pupils access a rich and stimulating arts education.”</w:t>
            </w:r>
          </w:p>
          <w:p w14:paraId="2A7D551B" w14:textId="50F6FE4F" w:rsidR="0090636C" w:rsidRPr="00BB3259" w:rsidRDefault="0090636C" w:rsidP="007D3491">
            <w:pPr>
              <w:pStyle w:val="TableRowCentered"/>
              <w:jc w:val="left"/>
              <w:rPr>
                <w:sz w:val="22"/>
              </w:rPr>
            </w:pPr>
            <w:hyperlink r:id="rId7" w:history="1">
              <w:r w:rsidRPr="007635D3">
                <w:rPr>
                  <w:rStyle w:val="Hyperlink"/>
                  <w:sz w:val="22"/>
                </w:rPr>
                <w:t>https://educationendowmentfoundation.org.uk/education-evidence/teaching-learning-toolkit/arts-participation</w:t>
              </w:r>
            </w:hyperlink>
            <w:r>
              <w:rPr>
                <w:sz w:val="22"/>
              </w:rPr>
              <w:t xml:space="preserve"> </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E9218" w14:textId="5A5291F5" w:rsidR="00E66558" w:rsidRDefault="00A24ED8">
            <w:pPr>
              <w:pStyle w:val="TableRowCentered"/>
              <w:jc w:val="left"/>
              <w:rPr>
                <w:sz w:val="22"/>
              </w:rPr>
            </w:pPr>
            <w:r>
              <w:rPr>
                <w:sz w:val="22"/>
              </w:rPr>
              <w:t>1,</w:t>
            </w:r>
            <w:r w:rsidR="00755F9F">
              <w:rPr>
                <w:sz w:val="22"/>
              </w:rPr>
              <w:t>2,</w:t>
            </w:r>
            <w:r>
              <w:rPr>
                <w:sz w:val="22"/>
              </w:rPr>
              <w:t>3,4</w:t>
            </w:r>
            <w:r w:rsidR="00755F9F">
              <w:rPr>
                <w:sz w:val="22"/>
              </w:rPr>
              <w:t>,5</w:t>
            </w:r>
          </w:p>
          <w:p w14:paraId="2A7D551C" w14:textId="0F5E8C35" w:rsidR="005F7EFE" w:rsidRPr="00BB3259" w:rsidRDefault="005F7EFE">
            <w:pPr>
              <w:pStyle w:val="TableRowCentered"/>
              <w:jc w:val="left"/>
              <w:rPr>
                <w:sz w:val="22"/>
              </w:rPr>
            </w:pPr>
          </w:p>
        </w:tc>
      </w:tr>
      <w:tr w:rsidR="00E66558" w14:paraId="2A7D5521" w14:textId="77777777" w:rsidTr="005B3BA3">
        <w:tc>
          <w:tcPr>
            <w:tcW w:w="1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70C46669" w:rsidR="00E66558" w:rsidRPr="00BB3259" w:rsidRDefault="00886C31">
            <w:pPr>
              <w:pStyle w:val="TableRow"/>
              <w:rPr>
                <w:i/>
                <w:sz w:val="22"/>
              </w:rPr>
            </w:pPr>
            <w:r>
              <w:rPr>
                <w:sz w:val="22"/>
              </w:rPr>
              <w:t>T</w:t>
            </w:r>
            <w:r w:rsidR="00BB3259" w:rsidRPr="00BB3259">
              <w:rPr>
                <w:sz w:val="22"/>
              </w:rPr>
              <w:t xml:space="preserve">eacher employed 3 days a week to support focus </w:t>
            </w:r>
            <w:r w:rsidR="00EF3C93">
              <w:rPr>
                <w:sz w:val="22"/>
              </w:rPr>
              <w:t xml:space="preserve">PP </w:t>
            </w:r>
            <w:r w:rsidR="00BB3259" w:rsidRPr="00BB3259">
              <w:rPr>
                <w:sz w:val="22"/>
              </w:rPr>
              <w:t>children</w:t>
            </w:r>
          </w:p>
        </w:tc>
        <w:tc>
          <w:tcPr>
            <w:tcW w:w="6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C812F" w14:textId="77777777" w:rsidR="00F3456B" w:rsidRPr="007B70D7" w:rsidRDefault="00F3456B" w:rsidP="00F3456B">
            <w:pPr>
              <w:suppressAutoHyphens w:val="0"/>
              <w:autoSpaceDN/>
              <w:spacing w:before="60" w:after="60" w:line="240" w:lineRule="auto"/>
              <w:ind w:left="57" w:right="57"/>
              <w:rPr>
                <w:color w:val="auto"/>
                <w:sz w:val="22"/>
              </w:rPr>
            </w:pPr>
            <w:r w:rsidRPr="007B70D7">
              <w:rPr>
                <w:color w:val="auto"/>
                <w:sz w:val="22"/>
              </w:rPr>
              <w:t>Tuition targeted at specific needs and knowledge gaps can be an effective method to support low attaining pupils or those falling behind, both one-to-one:</w:t>
            </w:r>
          </w:p>
          <w:p w14:paraId="54948EF6" w14:textId="77777777" w:rsidR="00F3456B" w:rsidRPr="007B70D7" w:rsidRDefault="00F3456B" w:rsidP="00F3456B">
            <w:pPr>
              <w:suppressAutoHyphens w:val="0"/>
              <w:autoSpaceDN/>
              <w:spacing w:before="60" w:after="60" w:line="240" w:lineRule="auto"/>
              <w:ind w:left="57" w:right="57"/>
              <w:rPr>
                <w:color w:val="0070C0"/>
                <w:sz w:val="22"/>
              </w:rPr>
            </w:pPr>
            <w:hyperlink r:id="rId8" w:history="1">
              <w:r w:rsidRPr="007B70D7">
                <w:rPr>
                  <w:color w:val="0070C0"/>
                  <w:sz w:val="22"/>
                  <w:u w:val="single"/>
                </w:rPr>
                <w:t>One to one tuition | EEF (educationendowmentfoundation.org.uk)</w:t>
              </w:r>
            </w:hyperlink>
          </w:p>
          <w:p w14:paraId="623D579F" w14:textId="77777777" w:rsidR="00F3456B" w:rsidRPr="007B70D7" w:rsidRDefault="00F3456B" w:rsidP="00F3456B">
            <w:pPr>
              <w:suppressAutoHyphens w:val="0"/>
              <w:autoSpaceDN/>
              <w:spacing w:before="60" w:after="60" w:line="240" w:lineRule="auto"/>
              <w:ind w:left="57" w:right="57"/>
              <w:rPr>
                <w:color w:val="auto"/>
                <w:sz w:val="22"/>
              </w:rPr>
            </w:pPr>
            <w:r w:rsidRPr="007B70D7">
              <w:rPr>
                <w:color w:val="auto"/>
                <w:sz w:val="22"/>
              </w:rPr>
              <w:t>And in small groups:</w:t>
            </w:r>
          </w:p>
          <w:p w14:paraId="2A7D551F" w14:textId="41CECBA8" w:rsidR="00E66558" w:rsidRPr="00BB3259" w:rsidRDefault="00C84904" w:rsidP="00C84904">
            <w:pPr>
              <w:pStyle w:val="TableRowCentered"/>
              <w:ind w:left="0"/>
              <w:jc w:val="left"/>
              <w:rPr>
                <w:sz w:val="22"/>
              </w:rPr>
            </w:pPr>
            <w:hyperlink r:id="rId9" w:history="1">
              <w:r w:rsidRPr="007635D3">
                <w:rPr>
                  <w:rStyle w:val="Hyperlink"/>
                </w:rPr>
                <w:t>https://educationendowmentfoundation.org.uk/education-evidence/teaching-learning-toolkit/small-group-tuition</w:t>
              </w:r>
            </w:hyperlink>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6D87C" w14:textId="69BAA8F6" w:rsidR="00A24ED8" w:rsidRDefault="00755F9F">
            <w:pPr>
              <w:pStyle w:val="TableRowCentered"/>
              <w:jc w:val="left"/>
              <w:rPr>
                <w:sz w:val="22"/>
              </w:rPr>
            </w:pPr>
            <w:r>
              <w:rPr>
                <w:sz w:val="22"/>
              </w:rPr>
              <w:t>1,2,4,5</w:t>
            </w:r>
          </w:p>
          <w:p w14:paraId="2A7D5520" w14:textId="4EB53B6A" w:rsidR="00E66558" w:rsidRPr="00BB3259" w:rsidRDefault="00E66558">
            <w:pPr>
              <w:pStyle w:val="TableRowCentered"/>
              <w:jc w:val="left"/>
              <w:rPr>
                <w:sz w:val="22"/>
              </w:rPr>
            </w:pPr>
          </w:p>
        </w:tc>
      </w:tr>
    </w:tbl>
    <w:p w14:paraId="2A7D5522" w14:textId="77777777" w:rsidR="00E66558" w:rsidRDefault="00E66558">
      <w:pPr>
        <w:keepNext/>
        <w:spacing w:after="60"/>
        <w:outlineLvl w:val="1"/>
      </w:pPr>
    </w:p>
    <w:p w14:paraId="2A7D5523" w14:textId="1DC08891" w:rsidR="00E66558" w:rsidRPr="00E30695" w:rsidRDefault="009D71E8">
      <w:pPr>
        <w:rPr>
          <w:b/>
          <w:bCs/>
          <w:color w:val="00B050"/>
          <w:sz w:val="28"/>
          <w:szCs w:val="28"/>
        </w:rPr>
      </w:pPr>
      <w:r w:rsidRPr="00E30695">
        <w:rPr>
          <w:b/>
          <w:bCs/>
          <w:color w:val="00B050"/>
          <w:sz w:val="28"/>
          <w:szCs w:val="28"/>
        </w:rPr>
        <w:t xml:space="preserve">Targeted academic support (for example, </w:t>
      </w:r>
      <w:r w:rsidR="00D33FE5" w:rsidRPr="00E30695">
        <w:rPr>
          <w:b/>
          <w:bCs/>
          <w:color w:val="00B050"/>
          <w:sz w:val="28"/>
          <w:szCs w:val="28"/>
        </w:rPr>
        <w:t xml:space="preserve">tutoring, one-to-one support </w:t>
      </w:r>
      <w:r w:rsidRPr="00E30695">
        <w:rPr>
          <w:b/>
          <w:bCs/>
          <w:color w:val="00B050"/>
          <w:sz w:val="28"/>
          <w:szCs w:val="28"/>
        </w:rPr>
        <w:t xml:space="preserve">structured interventions) </w:t>
      </w:r>
    </w:p>
    <w:p w14:paraId="2A7D5524" w14:textId="27BA7F7D" w:rsidR="00E66558" w:rsidRDefault="009D71E8">
      <w:r>
        <w:t xml:space="preserve">Budgeted cost: £ </w:t>
      </w:r>
      <w:r w:rsidR="00E777B7">
        <w:rPr>
          <w:iCs/>
        </w:rPr>
        <w:t>0</w:t>
      </w:r>
    </w:p>
    <w:tbl>
      <w:tblPr>
        <w:tblW w:w="5000" w:type="pct"/>
        <w:tblCellMar>
          <w:left w:w="10" w:type="dxa"/>
          <w:right w:w="10" w:type="dxa"/>
        </w:tblCellMar>
        <w:tblLook w:val="04A0" w:firstRow="1" w:lastRow="0" w:firstColumn="1" w:lastColumn="0" w:noHBand="0" w:noVBand="1"/>
      </w:tblPr>
      <w:tblGrid>
        <w:gridCol w:w="2082"/>
        <w:gridCol w:w="5871"/>
        <w:gridCol w:w="1533"/>
      </w:tblGrid>
      <w:tr w:rsidR="00E66558" w14:paraId="2A7D5528" w14:textId="77777777" w:rsidTr="00C84904">
        <w:tc>
          <w:tcPr>
            <w:tcW w:w="2689"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2A7D5525" w14:textId="77777777" w:rsidR="00E66558" w:rsidRDefault="009D71E8">
            <w:pPr>
              <w:pStyle w:val="TableHeader"/>
              <w:jc w:val="left"/>
            </w:pPr>
            <w:r>
              <w:t>Activity</w:t>
            </w:r>
          </w:p>
        </w:tc>
        <w:tc>
          <w:tcPr>
            <w:tcW w:w="5259"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38"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7B70D7" w14:paraId="2A7D552C" w14:textId="77777777" w:rsidTr="00C84904">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1F68667C" w:rsidR="007B70D7" w:rsidRPr="0090636C" w:rsidRDefault="007B70D7" w:rsidP="007B70D7">
            <w:pPr>
              <w:pStyle w:val="TableRow"/>
              <w:rPr>
                <w:sz w:val="22"/>
                <w:szCs w:val="22"/>
              </w:rPr>
            </w:pPr>
            <w:r w:rsidRPr="0090636C">
              <w:rPr>
                <w:sz w:val="22"/>
                <w:szCs w:val="22"/>
              </w:rPr>
              <w:lastRenderedPageBreak/>
              <w:t>Volunteer readers</w:t>
            </w:r>
          </w:p>
        </w:tc>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72E92" w14:textId="77777777" w:rsidR="007B70D7" w:rsidRDefault="007B70D7" w:rsidP="007B70D7">
            <w:pPr>
              <w:pStyle w:val="TableRowCentered"/>
              <w:jc w:val="left"/>
              <w:rPr>
                <w:sz w:val="22"/>
                <w:szCs w:val="22"/>
              </w:rPr>
            </w:pPr>
            <w:r w:rsidRPr="0090636C">
              <w:rPr>
                <w:sz w:val="22"/>
                <w:szCs w:val="22"/>
              </w:rPr>
              <w:t>Proven accelerated progress in Reading.</w:t>
            </w:r>
          </w:p>
          <w:p w14:paraId="2A7D552A" w14:textId="7006B13F" w:rsidR="005B3BA3" w:rsidRPr="0090636C" w:rsidRDefault="005B3BA3" w:rsidP="007B70D7">
            <w:pPr>
              <w:pStyle w:val="TableRowCentered"/>
              <w:jc w:val="left"/>
              <w:rPr>
                <w:sz w:val="22"/>
                <w:szCs w:val="22"/>
              </w:rPr>
            </w:pPr>
            <w:hyperlink r:id="rId10" w:history="1">
              <w:r w:rsidRPr="007635D3">
                <w:rPr>
                  <w:rStyle w:val="Hyperlink"/>
                  <w:sz w:val="22"/>
                  <w:szCs w:val="22"/>
                </w:rPr>
                <w:t>https://educationendowmentfoundation.org.uk/education-evidence/teaching-learning-toolkit/phonics</w:t>
              </w:r>
            </w:hyperlink>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36833FA9" w:rsidR="007B70D7" w:rsidRPr="0090636C" w:rsidRDefault="007B70D7" w:rsidP="007B70D7">
            <w:pPr>
              <w:pStyle w:val="TableRowCentered"/>
              <w:jc w:val="left"/>
              <w:rPr>
                <w:sz w:val="22"/>
                <w:szCs w:val="22"/>
              </w:rPr>
            </w:pPr>
            <w:r w:rsidRPr="0090636C">
              <w:rPr>
                <w:sz w:val="22"/>
                <w:szCs w:val="22"/>
              </w:rPr>
              <w:t>1</w:t>
            </w:r>
            <w:r w:rsidR="00755F9F">
              <w:rPr>
                <w:sz w:val="22"/>
                <w:szCs w:val="22"/>
              </w:rPr>
              <w:t>,2,3,</w:t>
            </w:r>
            <w:r w:rsidRPr="0090636C">
              <w:rPr>
                <w:sz w:val="22"/>
                <w:szCs w:val="22"/>
              </w:rPr>
              <w:t>4,5</w:t>
            </w:r>
          </w:p>
        </w:tc>
      </w:tr>
      <w:tr w:rsidR="007B70D7" w14:paraId="2A7D5530" w14:textId="77777777" w:rsidTr="00C84904">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0A843C96" w:rsidR="007B70D7" w:rsidRPr="0090636C" w:rsidRDefault="00F67C11" w:rsidP="007B70D7">
            <w:pPr>
              <w:pStyle w:val="TableRow"/>
              <w:rPr>
                <w:i/>
                <w:sz w:val="22"/>
                <w:szCs w:val="22"/>
              </w:rPr>
            </w:pPr>
            <w:r w:rsidRPr="0090636C">
              <w:rPr>
                <w:rFonts w:cs="Arial"/>
                <w:iCs/>
                <w:color w:val="auto"/>
                <w:sz w:val="22"/>
                <w:szCs w:val="22"/>
                <w:lang w:val="en-US"/>
              </w:rPr>
              <w:t xml:space="preserve">Additional phonics sessions targeted at disadvantaged pupils who require further phonics support. This will be delivered in collaboration with our local English hub.  </w:t>
            </w:r>
          </w:p>
        </w:tc>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161FC" w14:textId="77777777" w:rsidR="009E71B5" w:rsidRPr="0090636C" w:rsidRDefault="009E71B5" w:rsidP="009E71B5">
            <w:pPr>
              <w:pStyle w:val="TableRowCentered"/>
              <w:jc w:val="left"/>
              <w:rPr>
                <w:rFonts w:cs="Arial"/>
                <w:color w:val="auto"/>
                <w:sz w:val="22"/>
                <w:szCs w:val="22"/>
              </w:rPr>
            </w:pPr>
            <w:r w:rsidRPr="0090636C">
              <w:rPr>
                <w:rFonts w:cs="Arial"/>
                <w:color w:val="auto"/>
                <w:sz w:val="22"/>
                <w:szCs w:val="22"/>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A7D552E" w14:textId="464687F9" w:rsidR="007B70D7" w:rsidRPr="0090636C" w:rsidRDefault="00C84904" w:rsidP="00C84904">
            <w:pPr>
              <w:pStyle w:val="TableRowCentered"/>
              <w:jc w:val="left"/>
              <w:rPr>
                <w:sz w:val="22"/>
                <w:szCs w:val="22"/>
              </w:rPr>
            </w:pPr>
            <w:hyperlink r:id="rId11" w:history="1">
              <w:r w:rsidRPr="007635D3">
                <w:rPr>
                  <w:rStyle w:val="Hyperlink"/>
                  <w:sz w:val="22"/>
                  <w:szCs w:val="22"/>
                </w:rPr>
                <w:t>https://educationendowmentfoundation.org.uk/education-evidence/teaching-learning-toolkit/phonics</w:t>
              </w:r>
            </w:hyperlink>
            <w:r>
              <w:rPr>
                <w:sz w:val="22"/>
                <w:szCs w:val="22"/>
              </w:rPr>
              <w:t xml:space="preserve"> </w:t>
            </w: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4732CF47" w:rsidR="007B70D7" w:rsidRPr="0090636C" w:rsidRDefault="007B70D7" w:rsidP="007B70D7">
            <w:pPr>
              <w:pStyle w:val="TableRowCentered"/>
              <w:jc w:val="left"/>
              <w:rPr>
                <w:sz w:val="22"/>
                <w:szCs w:val="22"/>
              </w:rPr>
            </w:pPr>
            <w:r w:rsidRPr="0090636C">
              <w:rPr>
                <w:sz w:val="22"/>
                <w:szCs w:val="22"/>
              </w:rPr>
              <w:t>1,2,4,5</w:t>
            </w:r>
          </w:p>
        </w:tc>
      </w:tr>
      <w:tr w:rsidR="007B70D7" w14:paraId="3C42BB3D" w14:textId="77777777" w:rsidTr="00C84904">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22B97" w14:textId="52F32BB8" w:rsidR="007B70D7" w:rsidRPr="0090636C" w:rsidRDefault="007B70D7" w:rsidP="007B70D7">
            <w:pPr>
              <w:pStyle w:val="TableRow"/>
              <w:rPr>
                <w:sz w:val="22"/>
                <w:szCs w:val="22"/>
              </w:rPr>
            </w:pPr>
            <w:r w:rsidRPr="0090636C">
              <w:rPr>
                <w:sz w:val="22"/>
                <w:szCs w:val="22"/>
              </w:rPr>
              <w:t>1:1 pupil progress meetings with teachers and SLT</w:t>
            </w:r>
          </w:p>
        </w:tc>
        <w:tc>
          <w:tcPr>
            <w:tcW w:w="5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F3D82" w14:textId="03E655B8" w:rsidR="007B70D7" w:rsidRPr="0090636C" w:rsidRDefault="007B70D7" w:rsidP="007B70D7">
            <w:pPr>
              <w:pStyle w:val="TableRowCentered"/>
              <w:jc w:val="left"/>
              <w:rPr>
                <w:sz w:val="22"/>
                <w:szCs w:val="22"/>
              </w:rPr>
            </w:pPr>
            <w:r w:rsidRPr="0090636C">
              <w:rPr>
                <w:sz w:val="22"/>
                <w:szCs w:val="22"/>
              </w:rPr>
              <w:t xml:space="preserve">There is a collective responsibility for PP children’s progress in order for the children to make accelerated progress. The meetings will provide focused professional dialogue regarding the children’s barriers to learning and any strategies needed to meet their educational and emotional needs. </w:t>
            </w:r>
          </w:p>
        </w:tc>
        <w:tc>
          <w:tcPr>
            <w:tcW w:w="1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79599" w14:textId="4986249E" w:rsidR="007B70D7" w:rsidRPr="0090636C" w:rsidRDefault="007B70D7" w:rsidP="007B70D7">
            <w:pPr>
              <w:pStyle w:val="TableRowCentered"/>
              <w:jc w:val="left"/>
              <w:rPr>
                <w:sz w:val="22"/>
                <w:szCs w:val="22"/>
              </w:rPr>
            </w:pPr>
            <w:r w:rsidRPr="0090636C">
              <w:rPr>
                <w:sz w:val="22"/>
                <w:szCs w:val="22"/>
              </w:rPr>
              <w:t>1,2,3,4,5</w:t>
            </w:r>
          </w:p>
        </w:tc>
      </w:tr>
    </w:tbl>
    <w:p w14:paraId="2A7D5531" w14:textId="77777777" w:rsidR="00E66558" w:rsidRDefault="00E66558">
      <w:pPr>
        <w:spacing w:after="0"/>
        <w:rPr>
          <w:b/>
          <w:color w:val="104F75"/>
          <w:sz w:val="28"/>
          <w:szCs w:val="28"/>
        </w:rPr>
      </w:pPr>
    </w:p>
    <w:p w14:paraId="7E0FC918" w14:textId="77777777" w:rsidR="00937566" w:rsidRDefault="00937566">
      <w:pPr>
        <w:rPr>
          <w:b/>
          <w:color w:val="00B050"/>
          <w:sz w:val="28"/>
          <w:szCs w:val="28"/>
        </w:rPr>
      </w:pPr>
    </w:p>
    <w:p w14:paraId="2A7D5532" w14:textId="77EA9980" w:rsidR="00E66558" w:rsidRPr="00E30695" w:rsidRDefault="009D71E8">
      <w:pPr>
        <w:rPr>
          <w:b/>
          <w:color w:val="00B050"/>
          <w:sz w:val="28"/>
          <w:szCs w:val="28"/>
        </w:rPr>
      </w:pPr>
      <w:r w:rsidRPr="00E30695">
        <w:rPr>
          <w:b/>
          <w:color w:val="00B050"/>
          <w:sz w:val="28"/>
          <w:szCs w:val="28"/>
        </w:rPr>
        <w:t>Wider strategies (for example, related to attendance, behaviour, wellbeing)</w:t>
      </w:r>
    </w:p>
    <w:p w14:paraId="2A7D5533" w14:textId="143304C8" w:rsidR="00E66558" w:rsidRDefault="009D71E8">
      <w:pPr>
        <w:spacing w:before="240" w:after="120"/>
      </w:pPr>
      <w:r>
        <w:t xml:space="preserve">Budgeted cost: £ </w:t>
      </w:r>
      <w:r w:rsidR="00EF3C93">
        <w:rPr>
          <w:iCs/>
        </w:rPr>
        <w:t>39,013</w:t>
      </w:r>
    </w:p>
    <w:tbl>
      <w:tblPr>
        <w:tblW w:w="5000" w:type="pct"/>
        <w:tblCellMar>
          <w:left w:w="10" w:type="dxa"/>
          <w:right w:w="10" w:type="dxa"/>
        </w:tblCellMar>
        <w:tblLook w:val="04A0" w:firstRow="1" w:lastRow="0" w:firstColumn="1" w:lastColumn="0" w:noHBand="0" w:noVBand="1"/>
      </w:tblPr>
      <w:tblGrid>
        <w:gridCol w:w="1602"/>
        <w:gridCol w:w="6353"/>
        <w:gridCol w:w="1531"/>
      </w:tblGrid>
      <w:tr w:rsidR="00E66558" w14:paraId="2A7D5537" w14:textId="77777777" w:rsidTr="009B2993">
        <w:tc>
          <w:tcPr>
            <w:tcW w:w="1351"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2A7D5534" w14:textId="77777777" w:rsidR="00E66558" w:rsidRDefault="009D71E8">
            <w:pPr>
              <w:pStyle w:val="TableHeader"/>
              <w:jc w:val="left"/>
            </w:pPr>
            <w:r>
              <w:t>Activity</w:t>
            </w:r>
          </w:p>
        </w:tc>
        <w:tc>
          <w:tcPr>
            <w:tcW w:w="7291"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844"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9B2993">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1860CDA3" w:rsidR="00E66558" w:rsidRPr="000C1B78" w:rsidRDefault="00BB3259">
            <w:pPr>
              <w:pStyle w:val="TableRow"/>
              <w:rPr>
                <w:sz w:val="22"/>
                <w:szCs w:val="22"/>
              </w:rPr>
            </w:pPr>
            <w:r w:rsidRPr="000C1B78">
              <w:rPr>
                <w:sz w:val="22"/>
                <w:szCs w:val="22"/>
              </w:rPr>
              <w:t>Employ a full time FLO</w:t>
            </w:r>
          </w:p>
        </w:tc>
        <w:tc>
          <w:tcPr>
            <w:tcW w:w="7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83140" w14:textId="77777777" w:rsidR="00E66558" w:rsidRPr="000C1B78" w:rsidRDefault="00BB3259">
            <w:pPr>
              <w:pStyle w:val="TableRowCentered"/>
              <w:jc w:val="left"/>
              <w:rPr>
                <w:sz w:val="22"/>
                <w:szCs w:val="22"/>
              </w:rPr>
            </w:pPr>
            <w:r w:rsidRPr="000C1B78">
              <w:rPr>
                <w:sz w:val="22"/>
                <w:szCs w:val="22"/>
              </w:rPr>
              <w:t>Assist in enabling PP pupils to have full access to educational opportunities and overcome barriers to learning and participation, such as poverty, lack of materials, parental support and engagement, referrals to supportive agencies. Research has shown that parental engagement with children’s education has a great impact in academic progressions. The EEF suggest +3 months in progression with increased parental engagement.</w:t>
            </w:r>
          </w:p>
          <w:p w14:paraId="5B78EBA6" w14:textId="2CD5995B" w:rsidR="00BB3259" w:rsidRDefault="00BB3259">
            <w:pPr>
              <w:pStyle w:val="TableRowCentered"/>
              <w:jc w:val="left"/>
              <w:rPr>
                <w:sz w:val="22"/>
                <w:szCs w:val="22"/>
              </w:rPr>
            </w:pPr>
            <w:r w:rsidRPr="000C1B78">
              <w:rPr>
                <w:sz w:val="22"/>
                <w:szCs w:val="22"/>
              </w:rPr>
              <w:t>FLO to undertake emotional and mental wellbeing support role in additional hours.</w:t>
            </w:r>
          </w:p>
          <w:p w14:paraId="1968F86D" w14:textId="5C42CCF6" w:rsidR="00C84904" w:rsidRPr="000C1B78" w:rsidRDefault="00C84904">
            <w:pPr>
              <w:pStyle w:val="TableRowCentered"/>
              <w:jc w:val="left"/>
              <w:rPr>
                <w:sz w:val="22"/>
                <w:szCs w:val="22"/>
              </w:rPr>
            </w:pPr>
            <w:hyperlink r:id="rId12" w:history="1">
              <w:r w:rsidRPr="007635D3">
                <w:rPr>
                  <w:rStyle w:val="Hyperlink"/>
                  <w:sz w:val="22"/>
                  <w:szCs w:val="22"/>
                </w:rPr>
                <w:t>https://educationendowmentfoundation.org.uk/education-evidence/teaching-learning-toolkit/social-and-emotional-learning</w:t>
              </w:r>
            </w:hyperlink>
            <w:r>
              <w:rPr>
                <w:sz w:val="22"/>
                <w:szCs w:val="22"/>
              </w:rPr>
              <w:t xml:space="preserve"> </w:t>
            </w:r>
          </w:p>
          <w:p w14:paraId="3A580DF7" w14:textId="77777777" w:rsidR="00BB3259" w:rsidRDefault="00BB3259">
            <w:pPr>
              <w:pStyle w:val="TableRowCentered"/>
              <w:jc w:val="left"/>
              <w:rPr>
                <w:sz w:val="22"/>
                <w:szCs w:val="22"/>
              </w:rPr>
            </w:pPr>
            <w:r w:rsidRPr="000C1B78">
              <w:rPr>
                <w:sz w:val="22"/>
                <w:szCs w:val="22"/>
              </w:rPr>
              <w:t>FLO to monitor the attendance of pupils</w:t>
            </w:r>
          </w:p>
          <w:p w14:paraId="50B115C8" w14:textId="77777777" w:rsidR="0090636C" w:rsidRDefault="0090636C" w:rsidP="0090636C">
            <w:pPr>
              <w:pStyle w:val="TableRowCentered"/>
              <w:jc w:val="left"/>
              <w:rPr>
                <w:sz w:val="22"/>
                <w:szCs w:val="22"/>
              </w:rPr>
            </w:pPr>
            <w:r>
              <w:rPr>
                <w:sz w:val="22"/>
                <w:szCs w:val="22"/>
              </w:rPr>
              <w:t xml:space="preserve">FLO to provide behaviour support on a 1:1 or group basis. </w:t>
            </w:r>
          </w:p>
          <w:p w14:paraId="2A7D5539" w14:textId="0E5E18D7" w:rsidR="0090636C" w:rsidRPr="000C1B78" w:rsidRDefault="0090636C" w:rsidP="0090636C">
            <w:pPr>
              <w:pStyle w:val="TableRowCentered"/>
              <w:jc w:val="left"/>
              <w:rPr>
                <w:sz w:val="22"/>
                <w:szCs w:val="22"/>
              </w:rPr>
            </w:pPr>
            <w:hyperlink r:id="rId13" w:history="1">
              <w:r w:rsidRPr="007635D3">
                <w:rPr>
                  <w:rStyle w:val="Hyperlink"/>
                  <w:sz w:val="22"/>
                  <w:szCs w:val="22"/>
                </w:rPr>
                <w:t>https://educationendowmentfoundation.org.uk/education-evidence/teaching-learning-toolkit/behaviour-interventions</w:t>
              </w:r>
            </w:hyperlink>
            <w:r>
              <w:rPr>
                <w:sz w:val="22"/>
                <w:szCs w:val="22"/>
              </w:rPr>
              <w:t xml:space="preserve"> </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4C303" w14:textId="72648558" w:rsidR="00E66558" w:rsidRDefault="00BB3259">
            <w:pPr>
              <w:pStyle w:val="TableRowCentered"/>
              <w:jc w:val="left"/>
              <w:rPr>
                <w:sz w:val="22"/>
                <w:szCs w:val="22"/>
              </w:rPr>
            </w:pPr>
            <w:r w:rsidRPr="000C1B78">
              <w:rPr>
                <w:sz w:val="22"/>
                <w:szCs w:val="22"/>
              </w:rPr>
              <w:t>1,</w:t>
            </w:r>
            <w:r w:rsidR="00755F9F">
              <w:rPr>
                <w:sz w:val="22"/>
                <w:szCs w:val="22"/>
              </w:rPr>
              <w:t>2,</w:t>
            </w:r>
            <w:r w:rsidRPr="000C1B78">
              <w:rPr>
                <w:sz w:val="22"/>
                <w:szCs w:val="22"/>
              </w:rPr>
              <w:t>3,4</w:t>
            </w:r>
            <w:r w:rsidR="00755F9F">
              <w:rPr>
                <w:sz w:val="22"/>
                <w:szCs w:val="22"/>
              </w:rPr>
              <w:t>,5</w:t>
            </w:r>
          </w:p>
          <w:p w14:paraId="6ADEB912" w14:textId="77777777" w:rsidR="005F7EFE" w:rsidRDefault="005F7EFE">
            <w:pPr>
              <w:pStyle w:val="TableRowCentered"/>
              <w:jc w:val="left"/>
              <w:rPr>
                <w:sz w:val="22"/>
                <w:szCs w:val="22"/>
              </w:rPr>
            </w:pPr>
          </w:p>
          <w:p w14:paraId="2A7D553A" w14:textId="520C475D" w:rsidR="005F7EFE" w:rsidRPr="000C1B78" w:rsidRDefault="005F7EFE">
            <w:pPr>
              <w:pStyle w:val="TableRowCentered"/>
              <w:jc w:val="left"/>
              <w:rPr>
                <w:sz w:val="22"/>
                <w:szCs w:val="22"/>
              </w:rPr>
            </w:pPr>
          </w:p>
        </w:tc>
      </w:tr>
      <w:tr w:rsidR="00E66558" w14:paraId="2A7D553F" w14:textId="77777777" w:rsidTr="009B2993">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76F1CEB4" w:rsidR="00E66558" w:rsidRPr="000C1B78" w:rsidRDefault="000C1B78">
            <w:pPr>
              <w:pStyle w:val="TableRow"/>
              <w:rPr>
                <w:i/>
                <w:sz w:val="22"/>
                <w:szCs w:val="22"/>
              </w:rPr>
            </w:pPr>
            <w:r w:rsidRPr="000C1B78">
              <w:rPr>
                <w:sz w:val="22"/>
                <w:szCs w:val="22"/>
              </w:rPr>
              <w:lastRenderedPageBreak/>
              <w:t xml:space="preserve">Play Therapy </w:t>
            </w:r>
          </w:p>
        </w:tc>
        <w:tc>
          <w:tcPr>
            <w:tcW w:w="7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5E87B0D6" w:rsidR="00E66558" w:rsidRPr="000C1B78" w:rsidRDefault="000C1B78">
            <w:pPr>
              <w:pStyle w:val="TableRowCentered"/>
              <w:jc w:val="left"/>
              <w:rPr>
                <w:sz w:val="22"/>
                <w:szCs w:val="22"/>
              </w:rPr>
            </w:pPr>
            <w:r w:rsidRPr="000C1B78">
              <w:rPr>
                <w:sz w:val="22"/>
                <w:szCs w:val="22"/>
              </w:rPr>
              <w:t>Promoting wellbeing and behaviour support. Improved wellbeing and behaviour increases engagement in class.</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6DECEF94" w:rsidR="00E66558" w:rsidRPr="000C1B78" w:rsidRDefault="00DA1987">
            <w:pPr>
              <w:pStyle w:val="TableRowCentered"/>
              <w:jc w:val="left"/>
              <w:rPr>
                <w:sz w:val="22"/>
                <w:szCs w:val="22"/>
              </w:rPr>
            </w:pPr>
            <w:r>
              <w:rPr>
                <w:sz w:val="22"/>
                <w:szCs w:val="22"/>
              </w:rPr>
              <w:t>1,2,4,5</w:t>
            </w:r>
          </w:p>
        </w:tc>
      </w:tr>
      <w:tr w:rsidR="000C1B78" w14:paraId="34128E91" w14:textId="77777777" w:rsidTr="009B2993">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6C618" w14:textId="2762A1A1" w:rsidR="000C1B78" w:rsidRPr="000C1B78" w:rsidRDefault="000C1B78">
            <w:pPr>
              <w:pStyle w:val="TableRow"/>
              <w:rPr>
                <w:sz w:val="22"/>
                <w:szCs w:val="22"/>
              </w:rPr>
            </w:pPr>
            <w:r w:rsidRPr="000C1B78">
              <w:rPr>
                <w:sz w:val="22"/>
                <w:szCs w:val="22"/>
              </w:rPr>
              <w:t>Lego Therapy</w:t>
            </w:r>
          </w:p>
        </w:tc>
        <w:tc>
          <w:tcPr>
            <w:tcW w:w="7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A304D" w14:textId="431423C5" w:rsidR="000C1B78" w:rsidRPr="000C1B78" w:rsidRDefault="000C1B78">
            <w:pPr>
              <w:pStyle w:val="TableRowCentered"/>
              <w:jc w:val="left"/>
              <w:rPr>
                <w:sz w:val="22"/>
                <w:szCs w:val="22"/>
              </w:rPr>
            </w:pPr>
            <w:r w:rsidRPr="000C1B78">
              <w:rPr>
                <w:sz w:val="22"/>
                <w:szCs w:val="22"/>
              </w:rPr>
              <w:t>The EEF suggests social and emotional interventions have an identifiable and significant impact on attitudes to learning and social relationships in school, and attainment itself.</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BF2E8" w14:textId="2C09EBE6" w:rsidR="000C1B78" w:rsidRPr="000C1B78" w:rsidRDefault="00DA1987">
            <w:pPr>
              <w:pStyle w:val="TableRowCentered"/>
              <w:jc w:val="left"/>
              <w:rPr>
                <w:sz w:val="22"/>
                <w:szCs w:val="22"/>
              </w:rPr>
            </w:pPr>
            <w:r>
              <w:rPr>
                <w:sz w:val="22"/>
                <w:szCs w:val="22"/>
              </w:rPr>
              <w:t>1,2,4,5</w:t>
            </w:r>
          </w:p>
        </w:tc>
      </w:tr>
      <w:tr w:rsidR="000C1B78" w14:paraId="54DE29AB" w14:textId="77777777" w:rsidTr="009B2993">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5945F" w14:textId="3AAE6D5C" w:rsidR="000C1B78" w:rsidRPr="000C1B78" w:rsidRDefault="000C1B78">
            <w:pPr>
              <w:pStyle w:val="TableRow"/>
              <w:rPr>
                <w:sz w:val="22"/>
                <w:szCs w:val="22"/>
              </w:rPr>
            </w:pPr>
            <w:r w:rsidRPr="000C1B78">
              <w:rPr>
                <w:sz w:val="22"/>
                <w:szCs w:val="22"/>
              </w:rPr>
              <w:t>Educational Psychologist</w:t>
            </w:r>
          </w:p>
        </w:tc>
        <w:tc>
          <w:tcPr>
            <w:tcW w:w="7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9E957" w14:textId="7702AE4D" w:rsidR="000C1B78" w:rsidRPr="000C1B78" w:rsidRDefault="000C1B78">
            <w:pPr>
              <w:pStyle w:val="TableRowCentered"/>
              <w:jc w:val="left"/>
              <w:rPr>
                <w:sz w:val="22"/>
                <w:szCs w:val="22"/>
              </w:rPr>
            </w:pPr>
            <w:r w:rsidRPr="000C1B78">
              <w:rPr>
                <w:sz w:val="22"/>
                <w:szCs w:val="22"/>
              </w:rPr>
              <w:t>To provide us with expert advice and strategies to support behaviour and engagement levels of identified children</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96681" w14:textId="50E7CB4F" w:rsidR="000C1B78" w:rsidRPr="000C1B78" w:rsidRDefault="00DA1987">
            <w:pPr>
              <w:pStyle w:val="TableRowCentered"/>
              <w:jc w:val="left"/>
              <w:rPr>
                <w:sz w:val="22"/>
                <w:szCs w:val="22"/>
              </w:rPr>
            </w:pPr>
            <w:r>
              <w:rPr>
                <w:sz w:val="22"/>
                <w:szCs w:val="22"/>
              </w:rPr>
              <w:t>1,2,4,5</w:t>
            </w:r>
          </w:p>
        </w:tc>
      </w:tr>
      <w:tr w:rsidR="000C1B78" w14:paraId="6592ED18" w14:textId="77777777" w:rsidTr="009B2993">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5C2A9" w14:textId="6C019B4F" w:rsidR="000C1B78" w:rsidRPr="000C1B78" w:rsidRDefault="000C1B78">
            <w:pPr>
              <w:pStyle w:val="TableRow"/>
              <w:rPr>
                <w:sz w:val="22"/>
                <w:szCs w:val="22"/>
              </w:rPr>
            </w:pPr>
            <w:r w:rsidRPr="000C1B78">
              <w:rPr>
                <w:sz w:val="22"/>
                <w:szCs w:val="22"/>
              </w:rPr>
              <w:t>Free breakfast Club for PP children</w:t>
            </w:r>
            <w:r w:rsidR="00F67C11">
              <w:rPr>
                <w:sz w:val="22"/>
                <w:szCs w:val="22"/>
              </w:rPr>
              <w:t xml:space="preserve"> </w:t>
            </w:r>
          </w:p>
        </w:tc>
        <w:tc>
          <w:tcPr>
            <w:tcW w:w="7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4593F" w14:textId="77777777" w:rsidR="000C1B78" w:rsidRDefault="000C1B78">
            <w:pPr>
              <w:pStyle w:val="TableRowCentered"/>
              <w:jc w:val="left"/>
              <w:rPr>
                <w:sz w:val="22"/>
                <w:szCs w:val="22"/>
              </w:rPr>
            </w:pPr>
            <w:r w:rsidRPr="000C1B78">
              <w:rPr>
                <w:sz w:val="22"/>
                <w:szCs w:val="22"/>
              </w:rPr>
              <w:t>Children who are nutritionally provided for develop better and are able to concentrate better .Promoting healthy lifestyle and wellbeing. Proven impact improving punctuality and attendance.</w:t>
            </w:r>
          </w:p>
          <w:p w14:paraId="06F9D70B" w14:textId="50108921" w:rsidR="00506759" w:rsidRPr="000C1B78" w:rsidRDefault="00506759">
            <w:pPr>
              <w:pStyle w:val="TableRowCentered"/>
              <w:jc w:val="left"/>
              <w:rPr>
                <w:sz w:val="22"/>
                <w:szCs w:val="22"/>
              </w:rPr>
            </w:pPr>
            <w:hyperlink r:id="rId14" w:history="1">
              <w:r w:rsidRPr="009B2993">
                <w:rPr>
                  <w:rStyle w:val="Hyperlink"/>
                  <w:sz w:val="16"/>
                  <w:szCs w:val="22"/>
                </w:rPr>
                <w:t>https://educationendowmentfoundation.org.uk/projects-and-evaluation/projects/national-school-breakfast-programme?utm_source=/projects-and-evaluation/projects/national-school-breakfast-programme&amp;utm_medium=search&amp;utm_campaign=site_search&amp;search_term=break</w:t>
              </w:r>
            </w:hyperlink>
            <w:r w:rsidRPr="009B2993">
              <w:rPr>
                <w:sz w:val="16"/>
                <w:szCs w:val="22"/>
              </w:rPr>
              <w:t xml:space="preserve"> </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B6809" w14:textId="55215E38" w:rsidR="000C1B78" w:rsidRPr="000C1B78" w:rsidRDefault="00DA1987" w:rsidP="00755F9F">
            <w:pPr>
              <w:pStyle w:val="TableRowCentered"/>
              <w:jc w:val="left"/>
              <w:rPr>
                <w:sz w:val="22"/>
                <w:szCs w:val="22"/>
              </w:rPr>
            </w:pPr>
            <w:r>
              <w:rPr>
                <w:sz w:val="22"/>
                <w:szCs w:val="22"/>
              </w:rPr>
              <w:t>1,</w:t>
            </w:r>
            <w:r w:rsidR="00755F9F">
              <w:rPr>
                <w:sz w:val="22"/>
                <w:szCs w:val="22"/>
              </w:rPr>
              <w:t>2,4,</w:t>
            </w:r>
            <w:r>
              <w:rPr>
                <w:sz w:val="22"/>
                <w:szCs w:val="22"/>
              </w:rPr>
              <w:t>5</w:t>
            </w:r>
          </w:p>
        </w:tc>
      </w:tr>
      <w:tr w:rsidR="000C1B78" w14:paraId="068A6FEA" w14:textId="77777777" w:rsidTr="009B2993">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EEC5D" w14:textId="7849830E" w:rsidR="000C1B78" w:rsidRPr="000C1B78" w:rsidRDefault="000C1B78">
            <w:pPr>
              <w:pStyle w:val="TableRow"/>
              <w:rPr>
                <w:sz w:val="22"/>
                <w:szCs w:val="22"/>
              </w:rPr>
            </w:pPr>
            <w:r w:rsidRPr="000C1B78">
              <w:rPr>
                <w:sz w:val="22"/>
                <w:szCs w:val="22"/>
              </w:rPr>
              <w:t>Free Milk for PP children in KS1</w:t>
            </w:r>
          </w:p>
        </w:tc>
        <w:tc>
          <w:tcPr>
            <w:tcW w:w="7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E8D90" w14:textId="0C8FD12B" w:rsidR="000C1B78" w:rsidRPr="000C1B78" w:rsidRDefault="000C1B78">
            <w:pPr>
              <w:pStyle w:val="TableRowCentered"/>
              <w:jc w:val="left"/>
              <w:rPr>
                <w:sz w:val="22"/>
                <w:szCs w:val="22"/>
              </w:rPr>
            </w:pPr>
            <w:r w:rsidRPr="000C1B78">
              <w:rPr>
                <w:sz w:val="22"/>
                <w:szCs w:val="22"/>
              </w:rPr>
              <w:t>Children who are nutritionally provided for develop better and are able to concentrate better. Promoting healthy lifestyle and wellbeing.</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9CF17" w14:textId="227F821C" w:rsidR="000C1B78" w:rsidRPr="000C1B78" w:rsidRDefault="00755F9F">
            <w:pPr>
              <w:pStyle w:val="TableRowCentered"/>
              <w:jc w:val="left"/>
              <w:rPr>
                <w:sz w:val="22"/>
                <w:szCs w:val="22"/>
              </w:rPr>
            </w:pPr>
            <w:r>
              <w:rPr>
                <w:sz w:val="22"/>
                <w:szCs w:val="22"/>
              </w:rPr>
              <w:t>1,2,4,5</w:t>
            </w:r>
          </w:p>
        </w:tc>
      </w:tr>
      <w:tr w:rsidR="000C1B78" w14:paraId="174E6539" w14:textId="77777777" w:rsidTr="009B2993">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FC43D" w14:textId="658ACCE4" w:rsidR="000C1B78" w:rsidRPr="000C1B78" w:rsidRDefault="000C1B78">
            <w:pPr>
              <w:pStyle w:val="TableRow"/>
              <w:rPr>
                <w:sz w:val="22"/>
                <w:szCs w:val="22"/>
              </w:rPr>
            </w:pPr>
            <w:r w:rsidRPr="000C1B78">
              <w:rPr>
                <w:sz w:val="22"/>
                <w:szCs w:val="22"/>
              </w:rPr>
              <w:t>Contribution towards PE kits, water bottles and clothing.</w:t>
            </w:r>
          </w:p>
        </w:tc>
        <w:tc>
          <w:tcPr>
            <w:tcW w:w="7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80078" w14:textId="37E96589" w:rsidR="000C1B78" w:rsidRPr="000C1B78" w:rsidRDefault="000C1B78">
            <w:pPr>
              <w:pStyle w:val="TableRowCentered"/>
              <w:jc w:val="left"/>
              <w:rPr>
                <w:sz w:val="22"/>
                <w:szCs w:val="22"/>
              </w:rPr>
            </w:pPr>
            <w:r w:rsidRPr="000C1B78">
              <w:rPr>
                <w:sz w:val="22"/>
                <w:szCs w:val="22"/>
              </w:rPr>
              <w:t>Correct clothing and equipment helps children to access activities and to feel comfortable at school (leading to better attendance).</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6F128" w14:textId="290EB68A" w:rsidR="000C1B78" w:rsidRPr="000C1B78" w:rsidRDefault="00755F9F">
            <w:pPr>
              <w:pStyle w:val="TableRowCentered"/>
              <w:jc w:val="left"/>
              <w:rPr>
                <w:sz w:val="22"/>
                <w:szCs w:val="22"/>
              </w:rPr>
            </w:pPr>
            <w:r>
              <w:rPr>
                <w:sz w:val="22"/>
                <w:szCs w:val="22"/>
              </w:rPr>
              <w:t>1,2,3,4</w:t>
            </w:r>
          </w:p>
        </w:tc>
      </w:tr>
      <w:tr w:rsidR="000C1B78" w14:paraId="180EE1B5" w14:textId="77777777" w:rsidTr="009B2993">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CC695" w14:textId="4329D274" w:rsidR="000C1B78" w:rsidRPr="000C1B78" w:rsidRDefault="000C1B78" w:rsidP="0090636C">
            <w:pPr>
              <w:pStyle w:val="TableRow"/>
              <w:rPr>
                <w:sz w:val="22"/>
                <w:szCs w:val="22"/>
              </w:rPr>
            </w:pPr>
            <w:r w:rsidRPr="000C1B78">
              <w:rPr>
                <w:sz w:val="22"/>
                <w:szCs w:val="22"/>
              </w:rPr>
              <w:t>Enrichment Experiences: -</w:t>
            </w:r>
            <w:r w:rsidR="0090636C" w:rsidRPr="000C1B78">
              <w:rPr>
                <w:sz w:val="22"/>
                <w:szCs w:val="22"/>
              </w:rPr>
              <w:t xml:space="preserve"> </w:t>
            </w:r>
            <w:r w:rsidRPr="000C1B78">
              <w:rPr>
                <w:sz w:val="22"/>
                <w:szCs w:val="22"/>
              </w:rPr>
              <w:t>Sports fixtures -Whole school experience weeks</w:t>
            </w:r>
          </w:p>
        </w:tc>
        <w:tc>
          <w:tcPr>
            <w:tcW w:w="7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B0ACE" w14:textId="24283156" w:rsidR="000C1B78" w:rsidRPr="000C1B78" w:rsidRDefault="000C1B78">
            <w:pPr>
              <w:pStyle w:val="TableRowCentered"/>
              <w:jc w:val="left"/>
              <w:rPr>
                <w:sz w:val="22"/>
                <w:szCs w:val="22"/>
              </w:rPr>
            </w:pPr>
            <w:r w:rsidRPr="000C1B78">
              <w:rPr>
                <w:sz w:val="22"/>
                <w:szCs w:val="22"/>
              </w:rPr>
              <w:t>First hand experiences give opportunities to apply learning in different contexts to make learning purposeful. Providing memorable learning experiences that the child can draw on for learning.</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A8862" w14:textId="31DFB9E2" w:rsidR="000C1B78" w:rsidRPr="000C1B78" w:rsidRDefault="00755F9F">
            <w:pPr>
              <w:pStyle w:val="TableRowCentered"/>
              <w:jc w:val="left"/>
              <w:rPr>
                <w:sz w:val="22"/>
                <w:szCs w:val="22"/>
              </w:rPr>
            </w:pPr>
            <w:r>
              <w:rPr>
                <w:sz w:val="22"/>
                <w:szCs w:val="22"/>
              </w:rPr>
              <w:t>1,2,3,4</w:t>
            </w:r>
          </w:p>
        </w:tc>
      </w:tr>
      <w:tr w:rsidR="000C1B78" w14:paraId="5863E122" w14:textId="77777777" w:rsidTr="009B2993">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05603" w14:textId="6FECBE95" w:rsidR="000C1B78" w:rsidRPr="0090636C" w:rsidRDefault="000C1B78">
            <w:pPr>
              <w:pStyle w:val="TableRow"/>
              <w:rPr>
                <w:sz w:val="22"/>
                <w:szCs w:val="22"/>
              </w:rPr>
            </w:pPr>
            <w:r w:rsidRPr="0090636C">
              <w:rPr>
                <w:sz w:val="22"/>
                <w:szCs w:val="22"/>
              </w:rPr>
              <w:t>Young Carers Award</w:t>
            </w:r>
          </w:p>
        </w:tc>
        <w:tc>
          <w:tcPr>
            <w:tcW w:w="7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0714D" w14:textId="1E8D576D" w:rsidR="000C1B78" w:rsidRPr="0090636C" w:rsidRDefault="0090636C">
            <w:pPr>
              <w:pStyle w:val="TableRowCentered"/>
              <w:jc w:val="left"/>
              <w:rPr>
                <w:sz w:val="22"/>
                <w:szCs w:val="22"/>
              </w:rPr>
            </w:pPr>
            <w:r w:rsidRPr="0090636C">
              <w:rPr>
                <w:color w:val="000000" w:themeColor="text1"/>
                <w:sz w:val="22"/>
                <w:szCs w:val="22"/>
              </w:rPr>
              <w:t>32</w:t>
            </w:r>
            <w:r w:rsidR="006F4F2E" w:rsidRPr="0090636C">
              <w:rPr>
                <w:color w:val="000000" w:themeColor="text1"/>
                <w:sz w:val="22"/>
                <w:szCs w:val="22"/>
              </w:rPr>
              <w:t xml:space="preserve">% </w:t>
            </w:r>
            <w:r w:rsidR="000C1B78" w:rsidRPr="0090636C">
              <w:rPr>
                <w:sz w:val="22"/>
                <w:szCs w:val="22"/>
              </w:rPr>
              <w:t>of our PP children have been identified as Young Carers. The Young Carers in Schools Programme ensures that students don’t miss out on an education because they are young carers. Young carers are responsible for emotional, practical or physical care for a parent, sibling or other family member who has a physical disability, mental health issue or substance misuse issue. The programme helps the school to improve outcomes for young carers.</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78A5D" w14:textId="5CD3B5DF" w:rsidR="000C1B78" w:rsidRPr="0090636C" w:rsidRDefault="00755F9F">
            <w:pPr>
              <w:pStyle w:val="TableRowCentered"/>
              <w:jc w:val="left"/>
              <w:rPr>
                <w:sz w:val="22"/>
                <w:szCs w:val="22"/>
              </w:rPr>
            </w:pPr>
            <w:r>
              <w:rPr>
                <w:sz w:val="22"/>
                <w:szCs w:val="22"/>
              </w:rPr>
              <w:t>1,2,3,4,5</w:t>
            </w:r>
          </w:p>
        </w:tc>
      </w:tr>
      <w:tr w:rsidR="00F67C11" w14:paraId="515485F1" w14:textId="77777777" w:rsidTr="009B2993">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5FB34" w14:textId="5ABEB3A0" w:rsidR="00F67C11" w:rsidRPr="0090636C" w:rsidRDefault="00F67C11" w:rsidP="00F67C11">
            <w:pPr>
              <w:autoSpaceDN/>
              <w:spacing w:before="60" w:after="60" w:line="240" w:lineRule="auto"/>
              <w:ind w:left="29" w:right="57"/>
              <w:rPr>
                <w:iCs/>
                <w:color w:val="auto"/>
                <w:sz w:val="22"/>
                <w:szCs w:val="22"/>
                <w:lang w:val="en-US"/>
              </w:rPr>
            </w:pPr>
            <w:r w:rsidRPr="0090636C">
              <w:rPr>
                <w:iCs/>
                <w:color w:val="auto"/>
                <w:sz w:val="22"/>
                <w:szCs w:val="22"/>
                <w:lang w:val="en-US"/>
              </w:rPr>
              <w:t>Contingency fund for acute issues.</w:t>
            </w:r>
          </w:p>
        </w:tc>
        <w:tc>
          <w:tcPr>
            <w:tcW w:w="7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2CB57" w14:textId="55AC6C1C" w:rsidR="00F67C11" w:rsidRPr="0090636C" w:rsidRDefault="00F67C11">
            <w:pPr>
              <w:pStyle w:val="TableRowCentered"/>
              <w:jc w:val="left"/>
              <w:rPr>
                <w:color w:val="000000" w:themeColor="text1"/>
                <w:sz w:val="22"/>
                <w:szCs w:val="22"/>
              </w:rPr>
            </w:pPr>
            <w:r w:rsidRPr="0090636C">
              <w:rPr>
                <w:color w:val="auto"/>
                <w:sz w:val="22"/>
                <w:szCs w:val="22"/>
              </w:rPr>
              <w:t>We have identified a need to set a small amount of funding aside to respond quickly to needs that have not yet been identified.</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F8D16" w14:textId="6EDC1EE4" w:rsidR="00F67C11" w:rsidRPr="0090636C" w:rsidRDefault="00755F9F">
            <w:pPr>
              <w:pStyle w:val="TableRowCentered"/>
              <w:jc w:val="left"/>
              <w:rPr>
                <w:sz w:val="22"/>
                <w:szCs w:val="22"/>
              </w:rPr>
            </w:pPr>
            <w:r>
              <w:rPr>
                <w:sz w:val="22"/>
                <w:szCs w:val="22"/>
              </w:rPr>
              <w:t>1,2,3,4,5</w:t>
            </w:r>
          </w:p>
        </w:tc>
      </w:tr>
    </w:tbl>
    <w:p w14:paraId="2A7D5540" w14:textId="77777777" w:rsidR="00E66558" w:rsidRDefault="00E66558">
      <w:pPr>
        <w:spacing w:before="240" w:after="0"/>
        <w:rPr>
          <w:b/>
          <w:bCs/>
          <w:color w:val="104F75"/>
          <w:sz w:val="28"/>
          <w:szCs w:val="28"/>
        </w:rPr>
      </w:pPr>
    </w:p>
    <w:p w14:paraId="2A7D5541" w14:textId="2C2EBB21" w:rsidR="00E66558" w:rsidRPr="00E777B7" w:rsidRDefault="009D71E8" w:rsidP="00120AB1">
      <w:pPr>
        <w:rPr>
          <w:b/>
          <w:color w:val="00B050"/>
          <w:sz w:val="28"/>
          <w:szCs w:val="28"/>
        </w:rPr>
      </w:pPr>
      <w:r w:rsidRPr="00E777B7">
        <w:rPr>
          <w:b/>
          <w:bCs/>
          <w:color w:val="00B050"/>
          <w:sz w:val="28"/>
          <w:szCs w:val="28"/>
        </w:rPr>
        <w:t xml:space="preserve">Total budgeted </w:t>
      </w:r>
      <w:r w:rsidR="00E777B7">
        <w:rPr>
          <w:b/>
          <w:bCs/>
          <w:color w:val="00B050"/>
          <w:sz w:val="28"/>
          <w:szCs w:val="28"/>
        </w:rPr>
        <w:t xml:space="preserve">cost: </w:t>
      </w:r>
      <w:r w:rsidR="00E777B7" w:rsidRPr="00E777B7">
        <w:rPr>
          <w:b/>
          <w:color w:val="00B050"/>
          <w:sz w:val="28"/>
          <w:szCs w:val="28"/>
        </w:rPr>
        <w:t>£</w:t>
      </w:r>
      <w:r w:rsidR="00EF3C93">
        <w:rPr>
          <w:b/>
          <w:color w:val="00B050"/>
          <w:sz w:val="28"/>
          <w:szCs w:val="28"/>
        </w:rPr>
        <w:t>122,575</w:t>
      </w:r>
    </w:p>
    <w:p w14:paraId="2A7D5542" w14:textId="77777777" w:rsidR="00E66558" w:rsidRPr="00E30695" w:rsidRDefault="009D71E8">
      <w:pPr>
        <w:pStyle w:val="Heading1"/>
        <w:rPr>
          <w:color w:val="00B050"/>
        </w:rPr>
      </w:pPr>
      <w:r w:rsidRPr="00E30695">
        <w:rPr>
          <w:color w:val="00B050"/>
        </w:rPr>
        <w:lastRenderedPageBreak/>
        <w:t>Part B: Review of outcomes in the previous academic year</w:t>
      </w:r>
    </w:p>
    <w:p w14:paraId="2A7D5543" w14:textId="77777777" w:rsidR="00E66558" w:rsidRPr="00E30695" w:rsidRDefault="009D71E8">
      <w:pPr>
        <w:pStyle w:val="Heading2"/>
        <w:rPr>
          <w:color w:val="00B050"/>
        </w:rPr>
      </w:pPr>
      <w:r w:rsidRPr="00E30695">
        <w:rPr>
          <w:color w:val="00B050"/>
        </w:rPr>
        <w:t>Pupil premium strategy outcomes</w:t>
      </w:r>
    </w:p>
    <w:bookmarkEnd w:id="14"/>
    <w:bookmarkEnd w:id="15"/>
    <w:bookmarkEnd w:id="16"/>
    <w:p w14:paraId="4CD3A846" w14:textId="77777777" w:rsidR="00755F9F" w:rsidRPr="00D050F1" w:rsidRDefault="00755F9F" w:rsidP="00755F9F">
      <w:pPr>
        <w:pStyle w:val="NormalWeb"/>
        <w:spacing w:before="120" w:beforeAutospacing="0"/>
        <w:rPr>
          <w:rFonts w:ascii="Arial" w:hAnsi="Arial" w:cs="Arial"/>
          <w:color w:val="000000"/>
        </w:rPr>
      </w:pPr>
      <w:r w:rsidRPr="00D050F1">
        <w:rPr>
          <w:rFonts w:ascii="Arial" w:hAnsi="Arial" w:cs="Arial"/>
          <w:color w:val="000000"/>
        </w:rPr>
        <w:t>We have analysed the performance of our school’s disadvantaged pupils during the previous academic year, drawing on national assessment data and our own internal summative and formative assessments.</w:t>
      </w:r>
    </w:p>
    <w:p w14:paraId="12741235" w14:textId="2B1DE02A" w:rsidR="009A2A1C" w:rsidRPr="00C04703" w:rsidRDefault="00C04703" w:rsidP="00C04703">
      <w:pPr>
        <w:pStyle w:val="ListParagraph"/>
        <w:numPr>
          <w:ilvl w:val="0"/>
          <w:numId w:val="22"/>
        </w:numPr>
        <w:rPr>
          <w:b/>
        </w:rPr>
      </w:pPr>
      <w:r w:rsidRPr="00C04703">
        <w:rPr>
          <w:b/>
        </w:rPr>
        <w:t>For attendance of our PP children to be 96%+ or in line with whole school.</w:t>
      </w:r>
    </w:p>
    <w:p w14:paraId="1E4F677B" w14:textId="1AD97832" w:rsidR="009A2A1C" w:rsidRDefault="00C04703">
      <w:r>
        <w:t>Whole school attendance 9</w:t>
      </w:r>
      <w:r w:rsidR="00EF3835">
        <w:t>4.4</w:t>
      </w:r>
      <w:r>
        <w:t>%</w:t>
      </w:r>
    </w:p>
    <w:p w14:paraId="27F759BF" w14:textId="1B7D05BA" w:rsidR="00C04703" w:rsidRDefault="00C04703">
      <w:r>
        <w:t>Pupil Premium attendance 9</w:t>
      </w:r>
      <w:r w:rsidR="00EF3835">
        <w:t>3</w:t>
      </w:r>
      <w:r>
        <w:t>%</w:t>
      </w:r>
    </w:p>
    <w:p w14:paraId="0F304A45" w14:textId="1CC842E7" w:rsidR="00210FFC" w:rsidRDefault="00210FFC">
      <w:r>
        <w:t>Non Pupil Premium attendance: 9</w:t>
      </w:r>
      <w:r w:rsidR="00EF3835">
        <w:t>5</w:t>
      </w:r>
      <w:r>
        <w:t>%</w:t>
      </w:r>
    </w:p>
    <w:p w14:paraId="190F58D7" w14:textId="49BB5B81" w:rsidR="00C04703" w:rsidRDefault="00C04703">
      <w:r w:rsidRPr="00755F9F">
        <w:rPr>
          <w:highlight w:val="green"/>
        </w:rPr>
        <w:t xml:space="preserve">The gap between PP and Non PP is </w:t>
      </w:r>
      <w:r w:rsidR="00210FFC" w:rsidRPr="00755F9F">
        <w:rPr>
          <w:highlight w:val="green"/>
        </w:rPr>
        <w:t>2</w:t>
      </w:r>
      <w:r w:rsidRPr="00755F9F">
        <w:rPr>
          <w:highlight w:val="green"/>
        </w:rPr>
        <w:t xml:space="preserve">%. </w:t>
      </w:r>
    </w:p>
    <w:p w14:paraId="6F3C1279" w14:textId="15364EAB" w:rsidR="00C04703" w:rsidRPr="00D70554" w:rsidRDefault="00C04703" w:rsidP="00C04703">
      <w:pPr>
        <w:pStyle w:val="ListParagraph"/>
        <w:numPr>
          <w:ilvl w:val="0"/>
          <w:numId w:val="22"/>
        </w:numPr>
        <w:rPr>
          <w:b/>
          <w:sz w:val="28"/>
        </w:rPr>
      </w:pPr>
      <w:r w:rsidRPr="00D70554">
        <w:rPr>
          <w:b/>
          <w:szCs w:val="22"/>
        </w:rPr>
        <w:t xml:space="preserve">Robust pupil progress meetings with all stakeholders to discuss pupils with SEND who are also in receipt of pp funding.  </w:t>
      </w:r>
    </w:p>
    <w:p w14:paraId="0FCC5EF5" w14:textId="77777777" w:rsidR="00EF3835" w:rsidRPr="00EF3835" w:rsidRDefault="00EF3835" w:rsidP="00EF3835">
      <w:pPr>
        <w:numPr>
          <w:ilvl w:val="0"/>
          <w:numId w:val="29"/>
        </w:numPr>
        <w:rPr>
          <w:bCs/>
        </w:rPr>
      </w:pPr>
      <w:r w:rsidRPr="00EF3835">
        <w:rPr>
          <w:bCs/>
        </w:rPr>
        <w:t>To ensure that pupils with SEND who are also in receipt of Pupil Premium funding make strong progress, the school has implemented robust pupil progress meetings involving all relevant stakeholders. These meetings include:</w:t>
      </w:r>
    </w:p>
    <w:p w14:paraId="2E638458" w14:textId="3F2B9720" w:rsidR="00EF3835" w:rsidRPr="00EF3835" w:rsidRDefault="00EF3835" w:rsidP="00EF3835">
      <w:pPr>
        <w:numPr>
          <w:ilvl w:val="0"/>
          <w:numId w:val="30"/>
        </w:numPr>
        <w:rPr>
          <w:bCs/>
        </w:rPr>
      </w:pPr>
      <w:r w:rsidRPr="00EF3835">
        <w:rPr>
          <w:bCs/>
        </w:rPr>
        <w:t>Class Teachers, SENCo, SLT, and Support Staff working collaboratively to review academic progress</w:t>
      </w:r>
      <w:r>
        <w:rPr>
          <w:bCs/>
        </w:rPr>
        <w:t>.</w:t>
      </w:r>
    </w:p>
    <w:p w14:paraId="3AD8E54F" w14:textId="77777777" w:rsidR="00EF3835" w:rsidRPr="00EF3835" w:rsidRDefault="00EF3835" w:rsidP="00EF3835">
      <w:pPr>
        <w:numPr>
          <w:ilvl w:val="0"/>
          <w:numId w:val="30"/>
        </w:numPr>
        <w:rPr>
          <w:bCs/>
        </w:rPr>
      </w:pPr>
      <w:r w:rsidRPr="00EF3835">
        <w:rPr>
          <w:bCs/>
        </w:rPr>
        <w:t>Detailed analysis of assessment data to identify gaps and barriers to learning.</w:t>
      </w:r>
    </w:p>
    <w:p w14:paraId="42AA832E" w14:textId="26534677" w:rsidR="00EF3835" w:rsidRPr="00EF3835" w:rsidRDefault="00EF3835" w:rsidP="00EF3835">
      <w:pPr>
        <w:numPr>
          <w:ilvl w:val="0"/>
          <w:numId w:val="30"/>
        </w:numPr>
        <w:rPr>
          <w:bCs/>
        </w:rPr>
      </w:pPr>
      <w:r w:rsidRPr="00EF3835">
        <w:rPr>
          <w:bCs/>
        </w:rPr>
        <w:t>Discussion of targeted interventions and adjustments to provision, ensuring strategies are evidence-based and tailored to individual needs.</w:t>
      </w:r>
    </w:p>
    <w:p w14:paraId="5F74B00A" w14:textId="7C64EC9A" w:rsidR="00C04703" w:rsidRPr="00D70554" w:rsidRDefault="00D70554" w:rsidP="00D70554">
      <w:pPr>
        <w:pStyle w:val="ListParagraph"/>
        <w:numPr>
          <w:ilvl w:val="0"/>
          <w:numId w:val="22"/>
        </w:numPr>
        <w:rPr>
          <w:b/>
        </w:rPr>
      </w:pPr>
      <w:r w:rsidRPr="00D70554">
        <w:rPr>
          <w:rFonts w:cs="Arial"/>
          <w:b/>
        </w:rPr>
        <w:t>Pupils will have access to a range of enrichment activities in school as part of the curriculum and financial disadvantage will not affect take-up for after school clubs.</w:t>
      </w:r>
    </w:p>
    <w:p w14:paraId="0722ED11" w14:textId="77777777" w:rsidR="00D70554" w:rsidRPr="00D70554" w:rsidRDefault="00D70554" w:rsidP="00D70554">
      <w:r w:rsidRPr="00D70554">
        <w:t xml:space="preserve">100% of disadvantaged pupils wanting to attend trips and residential were subsidised where needed and able to attend </w:t>
      </w:r>
    </w:p>
    <w:p w14:paraId="4361054D" w14:textId="53045134" w:rsidR="00D70554" w:rsidRDefault="00D70554" w:rsidP="00D70554">
      <w:r w:rsidRPr="00D70554">
        <w:t>100% of disadvantaged had access to free second-hand uniform where required</w:t>
      </w:r>
    </w:p>
    <w:p w14:paraId="67AC23B6" w14:textId="2D658FE2" w:rsidR="00D70554" w:rsidRPr="00D70554" w:rsidRDefault="00D70554" w:rsidP="00D70554">
      <w:pPr>
        <w:pStyle w:val="ListParagraph"/>
        <w:numPr>
          <w:ilvl w:val="0"/>
          <w:numId w:val="22"/>
        </w:numPr>
        <w:rPr>
          <w:b/>
        </w:rPr>
      </w:pPr>
      <w:r w:rsidRPr="00D70554">
        <w:rPr>
          <w:rFonts w:cs="Arial"/>
          <w:b/>
        </w:rPr>
        <w:t>Pupils have elevated academic and social confidence measured through their Well-Being profiles</w:t>
      </w:r>
    </w:p>
    <w:p w14:paraId="2C4D9C55" w14:textId="4F3446B0" w:rsidR="00D70554" w:rsidRDefault="00D70554" w:rsidP="00D70554">
      <w:r>
        <w:t xml:space="preserve">Well-being profiles </w:t>
      </w:r>
    </w:p>
    <w:p w14:paraId="2388BFFB" w14:textId="7D7AFB58" w:rsidR="00E777B7" w:rsidRDefault="00E777B7" w:rsidP="00D70554">
      <w:r>
        <w:lastRenderedPageBreak/>
        <w:t>Lancaster Model surveys</w:t>
      </w:r>
    </w:p>
    <w:p w14:paraId="06DC78B4" w14:textId="65CD328D" w:rsidR="00E777B7" w:rsidRPr="00E706AD" w:rsidRDefault="00D70554" w:rsidP="00755F9F">
      <w:pPr>
        <w:pStyle w:val="ListParagraph"/>
        <w:numPr>
          <w:ilvl w:val="0"/>
          <w:numId w:val="22"/>
        </w:numPr>
        <w:rPr>
          <w:b/>
        </w:rPr>
      </w:pPr>
      <w:r w:rsidRPr="00D70554">
        <w:rPr>
          <w:b/>
          <w:color w:val="000000"/>
        </w:rPr>
        <w:t>Pupils will have access to high quality teaching of vocabulary across the curriculum to ensure PP pupils are able to access their learning in the same way as their peers</w:t>
      </w:r>
    </w:p>
    <w:p w14:paraId="42A8974E" w14:textId="5671C574" w:rsidR="0056688C" w:rsidRDefault="0056688C" w:rsidP="00755F9F">
      <w:pPr>
        <w:rPr>
          <w:sz w:val="22"/>
          <w:szCs w:val="22"/>
          <w:u w:val="single"/>
        </w:rPr>
      </w:pPr>
      <w:r w:rsidRPr="0056688C">
        <w:rPr>
          <w:sz w:val="22"/>
          <w:szCs w:val="22"/>
          <w:u w:val="single"/>
        </w:rPr>
        <w:t>GLD</w:t>
      </w:r>
    </w:p>
    <w:tbl>
      <w:tblPr>
        <w:tblW w:w="3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4"/>
        <w:gridCol w:w="1138"/>
        <w:gridCol w:w="1173"/>
      </w:tblGrid>
      <w:tr w:rsidR="00E52226" w:rsidRPr="00E52226" w14:paraId="4584C6F9" w14:textId="77777777" w:rsidTr="00E52226">
        <w:trPr>
          <w:trHeight w:val="65"/>
        </w:trPr>
        <w:tc>
          <w:tcPr>
            <w:tcW w:w="1124" w:type="dxa"/>
            <w:tcBorders>
              <w:top w:val="single" w:sz="6" w:space="0" w:color="auto"/>
              <w:left w:val="single" w:sz="6" w:space="0" w:color="auto"/>
              <w:bottom w:val="single" w:sz="6" w:space="0" w:color="auto"/>
              <w:right w:val="single" w:sz="6" w:space="0" w:color="auto"/>
            </w:tcBorders>
            <w:hideMark/>
          </w:tcPr>
          <w:p w14:paraId="6F109ED5" w14:textId="77777777" w:rsidR="00E52226" w:rsidRPr="00E52226" w:rsidRDefault="00E52226" w:rsidP="00E52226">
            <w:pPr>
              <w:numPr>
                <w:ilvl w:val="0"/>
                <w:numId w:val="1"/>
              </w:numPr>
              <w:rPr>
                <w:noProof/>
              </w:rPr>
            </w:pPr>
            <w:r w:rsidRPr="00E52226">
              <w:rPr>
                <w:noProof/>
              </w:rPr>
              <w:t>All </w:t>
            </w:r>
          </w:p>
        </w:tc>
        <w:tc>
          <w:tcPr>
            <w:tcW w:w="1138" w:type="dxa"/>
            <w:tcBorders>
              <w:top w:val="single" w:sz="6" w:space="0" w:color="auto"/>
              <w:left w:val="single" w:sz="6" w:space="0" w:color="auto"/>
              <w:bottom w:val="single" w:sz="6" w:space="0" w:color="auto"/>
              <w:right w:val="single" w:sz="6" w:space="0" w:color="auto"/>
            </w:tcBorders>
            <w:hideMark/>
          </w:tcPr>
          <w:p w14:paraId="6863B557" w14:textId="77777777" w:rsidR="00E52226" w:rsidRPr="00E52226" w:rsidRDefault="00E52226" w:rsidP="00E52226">
            <w:pPr>
              <w:numPr>
                <w:ilvl w:val="0"/>
                <w:numId w:val="1"/>
              </w:numPr>
              <w:rPr>
                <w:noProof/>
              </w:rPr>
            </w:pPr>
            <w:r w:rsidRPr="00E52226">
              <w:rPr>
                <w:noProof/>
              </w:rPr>
              <w:t>PP </w:t>
            </w:r>
          </w:p>
        </w:tc>
        <w:tc>
          <w:tcPr>
            <w:tcW w:w="1173" w:type="dxa"/>
            <w:tcBorders>
              <w:top w:val="single" w:sz="6" w:space="0" w:color="auto"/>
              <w:left w:val="single" w:sz="6" w:space="0" w:color="auto"/>
              <w:bottom w:val="single" w:sz="6" w:space="0" w:color="auto"/>
              <w:right w:val="single" w:sz="6" w:space="0" w:color="auto"/>
            </w:tcBorders>
            <w:hideMark/>
          </w:tcPr>
          <w:p w14:paraId="5430ABF0" w14:textId="77777777" w:rsidR="00E52226" w:rsidRPr="00E52226" w:rsidRDefault="00E52226" w:rsidP="00E52226">
            <w:pPr>
              <w:numPr>
                <w:ilvl w:val="0"/>
                <w:numId w:val="1"/>
              </w:numPr>
              <w:rPr>
                <w:noProof/>
              </w:rPr>
            </w:pPr>
            <w:r w:rsidRPr="00E52226">
              <w:rPr>
                <w:noProof/>
              </w:rPr>
              <w:t>Non-PP </w:t>
            </w:r>
          </w:p>
        </w:tc>
      </w:tr>
      <w:tr w:rsidR="00E52226" w:rsidRPr="00E52226" w14:paraId="67961622" w14:textId="77777777" w:rsidTr="00E52226">
        <w:trPr>
          <w:trHeight w:val="65"/>
        </w:trPr>
        <w:tc>
          <w:tcPr>
            <w:tcW w:w="1124" w:type="dxa"/>
            <w:tcBorders>
              <w:top w:val="single" w:sz="6" w:space="0" w:color="auto"/>
              <w:left w:val="single" w:sz="6" w:space="0" w:color="auto"/>
              <w:bottom w:val="single" w:sz="6" w:space="0" w:color="auto"/>
              <w:right w:val="single" w:sz="6" w:space="0" w:color="auto"/>
            </w:tcBorders>
            <w:hideMark/>
          </w:tcPr>
          <w:p w14:paraId="11D224D0" w14:textId="77777777" w:rsidR="00E52226" w:rsidRPr="00E52226" w:rsidRDefault="00E52226" w:rsidP="00E52226">
            <w:pPr>
              <w:numPr>
                <w:ilvl w:val="0"/>
                <w:numId w:val="1"/>
              </w:numPr>
              <w:rPr>
                <w:noProof/>
              </w:rPr>
            </w:pPr>
            <w:r w:rsidRPr="00E52226">
              <w:rPr>
                <w:noProof/>
              </w:rPr>
              <w:t>73 </w:t>
            </w:r>
          </w:p>
        </w:tc>
        <w:tc>
          <w:tcPr>
            <w:tcW w:w="1138" w:type="dxa"/>
            <w:tcBorders>
              <w:top w:val="single" w:sz="6" w:space="0" w:color="auto"/>
              <w:left w:val="single" w:sz="6" w:space="0" w:color="auto"/>
              <w:bottom w:val="single" w:sz="6" w:space="0" w:color="auto"/>
              <w:right w:val="single" w:sz="6" w:space="0" w:color="auto"/>
            </w:tcBorders>
            <w:hideMark/>
          </w:tcPr>
          <w:p w14:paraId="0FAF66F3" w14:textId="77777777" w:rsidR="00E52226" w:rsidRPr="00E52226" w:rsidRDefault="00E52226" w:rsidP="00E52226">
            <w:pPr>
              <w:numPr>
                <w:ilvl w:val="0"/>
                <w:numId w:val="1"/>
              </w:numPr>
              <w:rPr>
                <w:noProof/>
              </w:rPr>
            </w:pPr>
            <w:r w:rsidRPr="00E52226">
              <w:rPr>
                <w:noProof/>
              </w:rPr>
              <w:t>63 </w:t>
            </w:r>
          </w:p>
        </w:tc>
        <w:tc>
          <w:tcPr>
            <w:tcW w:w="1173" w:type="dxa"/>
            <w:tcBorders>
              <w:top w:val="single" w:sz="6" w:space="0" w:color="auto"/>
              <w:left w:val="single" w:sz="6" w:space="0" w:color="auto"/>
              <w:bottom w:val="single" w:sz="6" w:space="0" w:color="auto"/>
              <w:right w:val="single" w:sz="6" w:space="0" w:color="auto"/>
            </w:tcBorders>
            <w:hideMark/>
          </w:tcPr>
          <w:p w14:paraId="570D3771" w14:textId="77777777" w:rsidR="00E52226" w:rsidRPr="00E52226" w:rsidRDefault="00E52226" w:rsidP="00E52226">
            <w:pPr>
              <w:numPr>
                <w:ilvl w:val="0"/>
                <w:numId w:val="1"/>
              </w:numPr>
              <w:rPr>
                <w:noProof/>
              </w:rPr>
            </w:pPr>
            <w:r w:rsidRPr="00E52226">
              <w:rPr>
                <w:noProof/>
              </w:rPr>
              <w:t>77 </w:t>
            </w:r>
          </w:p>
        </w:tc>
      </w:tr>
    </w:tbl>
    <w:p w14:paraId="636D99C9" w14:textId="77777777" w:rsidR="0056688C" w:rsidRDefault="0056688C" w:rsidP="00755F9F">
      <w:pPr>
        <w:rPr>
          <w:sz w:val="22"/>
          <w:szCs w:val="22"/>
        </w:rPr>
      </w:pPr>
    </w:p>
    <w:p w14:paraId="6BAF193D" w14:textId="699710D5" w:rsidR="00755F9F" w:rsidRPr="0056688C" w:rsidRDefault="00755F9F" w:rsidP="00755F9F">
      <w:pPr>
        <w:rPr>
          <w:sz w:val="22"/>
          <w:szCs w:val="22"/>
          <w:u w:val="single"/>
        </w:rPr>
      </w:pPr>
      <w:r w:rsidRPr="0056688C">
        <w:rPr>
          <w:sz w:val="22"/>
          <w:szCs w:val="22"/>
          <w:u w:val="single"/>
        </w:rPr>
        <w:t>Year 1 Phonics Screening: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tblGrid>
      <w:tr w:rsidR="00E52226" w:rsidRPr="00E52226" w14:paraId="2B74D02E" w14:textId="77777777">
        <w:trPr>
          <w:trHeight w:val="300"/>
        </w:trPr>
        <w:tc>
          <w:tcPr>
            <w:tcW w:w="3000" w:type="dxa"/>
            <w:tcBorders>
              <w:top w:val="single" w:sz="6" w:space="0" w:color="70AD47"/>
              <w:left w:val="single" w:sz="6" w:space="0" w:color="70AD47"/>
              <w:bottom w:val="single" w:sz="6" w:space="0" w:color="70AD47"/>
              <w:right w:val="nil"/>
            </w:tcBorders>
            <w:shd w:val="clear" w:color="auto" w:fill="70AD47"/>
            <w:hideMark/>
          </w:tcPr>
          <w:p w14:paraId="012A93C1" w14:textId="6F84BEB8" w:rsidR="00E52226" w:rsidRPr="00E52226" w:rsidRDefault="00E52226" w:rsidP="00E52226">
            <w:pPr>
              <w:numPr>
                <w:ilvl w:val="0"/>
                <w:numId w:val="1"/>
              </w:numPr>
              <w:rPr>
                <w:b/>
                <w:bCs/>
              </w:rPr>
            </w:pPr>
            <w:r w:rsidRPr="00E52226">
              <w:rPr>
                <w:b/>
                <w:bCs/>
              </w:rPr>
              <w:t> </w:t>
            </w:r>
            <w:r>
              <w:rPr>
                <w:b/>
                <w:bCs/>
              </w:rPr>
              <w:t>All: 80%</w:t>
            </w:r>
          </w:p>
        </w:tc>
        <w:tc>
          <w:tcPr>
            <w:tcW w:w="3000" w:type="dxa"/>
            <w:tcBorders>
              <w:top w:val="single" w:sz="6" w:space="0" w:color="70AD47"/>
              <w:left w:val="nil"/>
              <w:bottom w:val="single" w:sz="6" w:space="0" w:color="70AD47"/>
              <w:right w:val="single" w:sz="6" w:space="0" w:color="70AD47"/>
            </w:tcBorders>
            <w:shd w:val="clear" w:color="auto" w:fill="70AD47"/>
            <w:hideMark/>
          </w:tcPr>
          <w:p w14:paraId="5972FD85" w14:textId="77777777" w:rsidR="00E52226" w:rsidRPr="00E52226" w:rsidRDefault="00E52226" w:rsidP="00E52226">
            <w:pPr>
              <w:numPr>
                <w:ilvl w:val="0"/>
                <w:numId w:val="1"/>
              </w:numPr>
              <w:rPr>
                <w:b/>
                <w:bCs/>
              </w:rPr>
            </w:pPr>
            <w:r w:rsidRPr="00E52226">
              <w:rPr>
                <w:b/>
                <w:bCs/>
              </w:rPr>
              <w:t>% of children </w:t>
            </w:r>
          </w:p>
        </w:tc>
      </w:tr>
      <w:tr w:rsidR="00E52226" w:rsidRPr="00E52226" w14:paraId="7B52EE98" w14:textId="77777777">
        <w:trPr>
          <w:trHeight w:val="300"/>
        </w:trPr>
        <w:tc>
          <w:tcPr>
            <w:tcW w:w="3000" w:type="dxa"/>
            <w:tcBorders>
              <w:top w:val="single" w:sz="6" w:space="0" w:color="A8D08D"/>
              <w:left w:val="single" w:sz="6" w:space="0" w:color="A8D08D"/>
              <w:bottom w:val="single" w:sz="6" w:space="0" w:color="A8D08D"/>
              <w:right w:val="single" w:sz="6" w:space="0" w:color="A8D08D"/>
            </w:tcBorders>
            <w:shd w:val="clear" w:color="auto" w:fill="E2EFD9"/>
            <w:hideMark/>
          </w:tcPr>
          <w:p w14:paraId="3B633320" w14:textId="77777777" w:rsidR="00E52226" w:rsidRPr="00E52226" w:rsidRDefault="00E52226" w:rsidP="00E52226">
            <w:pPr>
              <w:numPr>
                <w:ilvl w:val="0"/>
                <w:numId w:val="1"/>
              </w:numPr>
              <w:rPr>
                <w:b/>
                <w:bCs/>
              </w:rPr>
            </w:pPr>
            <w:r w:rsidRPr="00E52226">
              <w:rPr>
                <w:b/>
                <w:bCs/>
              </w:rPr>
              <w:t>Pupil Premium (11) </w:t>
            </w:r>
          </w:p>
        </w:tc>
        <w:tc>
          <w:tcPr>
            <w:tcW w:w="3000" w:type="dxa"/>
            <w:tcBorders>
              <w:top w:val="single" w:sz="6" w:space="0" w:color="A8D08D"/>
              <w:left w:val="single" w:sz="6" w:space="0" w:color="A8D08D"/>
              <w:bottom w:val="single" w:sz="6" w:space="0" w:color="A8D08D"/>
              <w:right w:val="single" w:sz="6" w:space="0" w:color="A8D08D"/>
            </w:tcBorders>
            <w:shd w:val="clear" w:color="auto" w:fill="E2EFD9"/>
            <w:hideMark/>
          </w:tcPr>
          <w:p w14:paraId="67AD383A" w14:textId="77777777" w:rsidR="00E52226" w:rsidRPr="00E52226" w:rsidRDefault="00E52226" w:rsidP="00E52226">
            <w:pPr>
              <w:numPr>
                <w:ilvl w:val="0"/>
                <w:numId w:val="1"/>
              </w:numPr>
              <w:rPr>
                <w:b/>
              </w:rPr>
            </w:pPr>
            <w:r w:rsidRPr="00E52226">
              <w:rPr>
                <w:b/>
              </w:rPr>
              <w:t>64% </w:t>
            </w:r>
          </w:p>
        </w:tc>
      </w:tr>
      <w:tr w:rsidR="00E52226" w:rsidRPr="00E52226" w14:paraId="74A35185" w14:textId="77777777">
        <w:trPr>
          <w:trHeight w:val="300"/>
        </w:trPr>
        <w:tc>
          <w:tcPr>
            <w:tcW w:w="3000" w:type="dxa"/>
            <w:tcBorders>
              <w:top w:val="single" w:sz="6" w:space="0" w:color="A8D08D"/>
              <w:left w:val="single" w:sz="6" w:space="0" w:color="A8D08D"/>
              <w:bottom w:val="single" w:sz="6" w:space="0" w:color="A8D08D"/>
              <w:right w:val="single" w:sz="6" w:space="0" w:color="A8D08D"/>
            </w:tcBorders>
            <w:hideMark/>
          </w:tcPr>
          <w:p w14:paraId="37984224" w14:textId="77777777" w:rsidR="00E52226" w:rsidRPr="00E52226" w:rsidRDefault="00E52226" w:rsidP="00E52226">
            <w:pPr>
              <w:numPr>
                <w:ilvl w:val="0"/>
                <w:numId w:val="1"/>
              </w:numPr>
              <w:rPr>
                <w:b/>
                <w:bCs/>
              </w:rPr>
            </w:pPr>
            <w:r w:rsidRPr="00E52226">
              <w:rPr>
                <w:b/>
                <w:bCs/>
              </w:rPr>
              <w:t>Non Pupil Premium (19) </w:t>
            </w:r>
          </w:p>
        </w:tc>
        <w:tc>
          <w:tcPr>
            <w:tcW w:w="3000" w:type="dxa"/>
            <w:tcBorders>
              <w:top w:val="single" w:sz="6" w:space="0" w:color="A8D08D"/>
              <w:left w:val="single" w:sz="6" w:space="0" w:color="A8D08D"/>
              <w:bottom w:val="single" w:sz="6" w:space="0" w:color="A8D08D"/>
              <w:right w:val="single" w:sz="6" w:space="0" w:color="A8D08D"/>
            </w:tcBorders>
            <w:hideMark/>
          </w:tcPr>
          <w:p w14:paraId="672E41E8" w14:textId="77777777" w:rsidR="00E52226" w:rsidRPr="00E52226" w:rsidRDefault="00E52226" w:rsidP="00E52226">
            <w:pPr>
              <w:numPr>
                <w:ilvl w:val="0"/>
                <w:numId w:val="1"/>
              </w:numPr>
              <w:rPr>
                <w:b/>
              </w:rPr>
            </w:pPr>
            <w:r w:rsidRPr="00E52226">
              <w:rPr>
                <w:b/>
              </w:rPr>
              <w:t>89% </w:t>
            </w:r>
          </w:p>
        </w:tc>
      </w:tr>
    </w:tbl>
    <w:p w14:paraId="241D6B56" w14:textId="1A8BA879" w:rsidR="00755F9F" w:rsidRDefault="00755F9F" w:rsidP="00755F9F">
      <w:pPr>
        <w:rPr>
          <w:b/>
        </w:rPr>
      </w:pPr>
    </w:p>
    <w:p w14:paraId="7ACADF87" w14:textId="45B0678C" w:rsidR="00755F9F" w:rsidRPr="0056688C" w:rsidRDefault="00B83D89" w:rsidP="00755F9F">
      <w:pPr>
        <w:rPr>
          <w:sz w:val="22"/>
          <w:szCs w:val="22"/>
          <w:u w:val="single"/>
        </w:rPr>
      </w:pPr>
      <w:r w:rsidRPr="0056688C">
        <w:rPr>
          <w:sz w:val="22"/>
          <w:szCs w:val="22"/>
          <w:u w:val="single"/>
        </w:rPr>
        <w:t>Year</w:t>
      </w:r>
      <w:r w:rsidR="0056688C" w:rsidRPr="0056688C">
        <w:rPr>
          <w:sz w:val="22"/>
          <w:szCs w:val="22"/>
          <w:u w:val="single"/>
        </w:rPr>
        <w:t xml:space="preserve"> 4</w:t>
      </w:r>
      <w:r w:rsidRPr="0056688C">
        <w:rPr>
          <w:sz w:val="22"/>
          <w:szCs w:val="22"/>
          <w:u w:val="single"/>
        </w:rPr>
        <w:t xml:space="preserve"> </w:t>
      </w:r>
      <w:r w:rsidR="0056688C" w:rsidRPr="0056688C">
        <w:rPr>
          <w:sz w:val="22"/>
          <w:szCs w:val="22"/>
          <w:u w:val="single"/>
        </w:rPr>
        <w:t>Multiplication</w:t>
      </w:r>
      <w:r w:rsidRPr="0056688C">
        <w:rPr>
          <w:sz w:val="22"/>
          <w:szCs w:val="22"/>
          <w:u w:val="single"/>
        </w:rPr>
        <w:t xml:space="preserve"> Check</w:t>
      </w:r>
    </w:p>
    <w:tbl>
      <w:tblPr>
        <w:tblW w:w="4326" w:type="dxa"/>
        <w:tblCellMar>
          <w:top w:w="15" w:type="dxa"/>
          <w:bottom w:w="15" w:type="dxa"/>
        </w:tblCellMar>
        <w:tblLook w:val="04A0" w:firstRow="1" w:lastRow="0" w:firstColumn="1" w:lastColumn="0" w:noHBand="0" w:noVBand="1"/>
      </w:tblPr>
      <w:tblGrid>
        <w:gridCol w:w="2820"/>
        <w:gridCol w:w="440"/>
        <w:gridCol w:w="459"/>
        <w:gridCol w:w="607"/>
      </w:tblGrid>
      <w:tr w:rsidR="00E52226" w:rsidRPr="00E52226" w14:paraId="79734DE7" w14:textId="77777777" w:rsidTr="00E52226">
        <w:trPr>
          <w:trHeight w:val="1215"/>
        </w:trPr>
        <w:tc>
          <w:tcPr>
            <w:tcW w:w="2820" w:type="dxa"/>
            <w:tcBorders>
              <w:top w:val="single" w:sz="4" w:space="0" w:color="000000"/>
              <w:left w:val="single" w:sz="4" w:space="0" w:color="000000"/>
              <w:bottom w:val="single" w:sz="4" w:space="0" w:color="000000"/>
              <w:right w:val="nil"/>
            </w:tcBorders>
            <w:shd w:val="clear" w:color="FFFFFF" w:fill="FFFFFF"/>
            <w:noWrap/>
            <w:vAlign w:val="bottom"/>
            <w:hideMark/>
          </w:tcPr>
          <w:p w14:paraId="03B9A47D" w14:textId="77777777" w:rsidR="00E52226" w:rsidRPr="00E52226" w:rsidRDefault="00E52226" w:rsidP="00E52226">
            <w:pPr>
              <w:suppressAutoHyphens w:val="0"/>
              <w:autoSpaceDN/>
              <w:spacing w:after="0" w:line="240" w:lineRule="auto"/>
              <w:rPr>
                <w:rFonts w:cs="Arial"/>
                <w:b/>
                <w:bCs/>
                <w:color w:val="000000"/>
                <w:sz w:val="20"/>
                <w:szCs w:val="20"/>
              </w:rPr>
            </w:pPr>
            <w:r w:rsidRPr="00E52226">
              <w:rPr>
                <w:rFonts w:cs="Arial"/>
                <w:b/>
                <w:bCs/>
                <w:color w:val="000000"/>
                <w:sz w:val="20"/>
                <w:szCs w:val="20"/>
              </w:rPr>
              <w:t>2024-2025</w:t>
            </w:r>
          </w:p>
        </w:tc>
        <w:tc>
          <w:tcPr>
            <w:tcW w:w="440" w:type="dxa"/>
            <w:tcBorders>
              <w:top w:val="single" w:sz="4" w:space="0" w:color="auto"/>
              <w:left w:val="single" w:sz="4" w:space="0" w:color="auto"/>
              <w:bottom w:val="single" w:sz="4" w:space="0" w:color="auto"/>
              <w:right w:val="single" w:sz="4" w:space="0" w:color="auto"/>
            </w:tcBorders>
            <w:noWrap/>
            <w:vAlign w:val="bottom"/>
            <w:hideMark/>
          </w:tcPr>
          <w:p w14:paraId="03E81313" w14:textId="77777777" w:rsidR="00E52226" w:rsidRPr="00E52226" w:rsidRDefault="00E52226" w:rsidP="00E52226">
            <w:pPr>
              <w:suppressAutoHyphens w:val="0"/>
              <w:autoSpaceDN/>
              <w:spacing w:after="0" w:line="240" w:lineRule="auto"/>
              <w:rPr>
                <w:rFonts w:cs="Arial"/>
                <w:b/>
                <w:bCs/>
                <w:color w:val="000000"/>
                <w:sz w:val="20"/>
                <w:szCs w:val="20"/>
              </w:rPr>
            </w:pPr>
          </w:p>
        </w:tc>
        <w:tc>
          <w:tcPr>
            <w:tcW w:w="459" w:type="dxa"/>
            <w:tcBorders>
              <w:top w:val="nil"/>
              <w:left w:val="nil"/>
              <w:bottom w:val="nil"/>
              <w:right w:val="nil"/>
            </w:tcBorders>
            <w:noWrap/>
            <w:textDirection w:val="btLr"/>
            <w:vAlign w:val="bottom"/>
            <w:hideMark/>
          </w:tcPr>
          <w:p w14:paraId="79307433" w14:textId="77777777" w:rsidR="00E52226" w:rsidRPr="00E52226" w:rsidRDefault="00E52226" w:rsidP="00E52226">
            <w:pPr>
              <w:suppressAutoHyphens w:val="0"/>
              <w:autoSpaceDN/>
              <w:spacing w:after="0" w:line="240" w:lineRule="auto"/>
              <w:jc w:val="center"/>
              <w:rPr>
                <w:rFonts w:cs="Arial"/>
                <w:color w:val="auto"/>
                <w:sz w:val="20"/>
                <w:szCs w:val="20"/>
              </w:rPr>
            </w:pPr>
            <w:r w:rsidRPr="00E52226">
              <w:rPr>
                <w:rFonts w:cs="Arial"/>
                <w:color w:val="auto"/>
                <w:sz w:val="20"/>
                <w:szCs w:val="20"/>
              </w:rPr>
              <w:t>Full Marks %</w:t>
            </w:r>
          </w:p>
        </w:tc>
        <w:tc>
          <w:tcPr>
            <w:tcW w:w="607" w:type="dxa"/>
            <w:tcBorders>
              <w:top w:val="single" w:sz="4" w:space="0" w:color="000000"/>
              <w:left w:val="single" w:sz="4" w:space="0" w:color="000000"/>
              <w:bottom w:val="single" w:sz="4" w:space="0" w:color="000000"/>
              <w:right w:val="single" w:sz="4" w:space="0" w:color="000000"/>
            </w:tcBorders>
            <w:noWrap/>
            <w:textDirection w:val="btLr"/>
            <w:vAlign w:val="bottom"/>
            <w:hideMark/>
          </w:tcPr>
          <w:p w14:paraId="52E6C07D" w14:textId="77777777" w:rsidR="00E52226" w:rsidRPr="00E52226" w:rsidRDefault="00E52226" w:rsidP="00E52226">
            <w:pPr>
              <w:suppressAutoHyphens w:val="0"/>
              <w:autoSpaceDN/>
              <w:spacing w:after="0" w:line="240" w:lineRule="auto"/>
              <w:jc w:val="center"/>
              <w:rPr>
                <w:rFonts w:cs="Arial"/>
                <w:color w:val="auto"/>
                <w:sz w:val="20"/>
                <w:szCs w:val="20"/>
              </w:rPr>
            </w:pPr>
            <w:r w:rsidRPr="00E52226">
              <w:rPr>
                <w:rFonts w:cs="Arial"/>
                <w:color w:val="auto"/>
                <w:sz w:val="20"/>
                <w:szCs w:val="20"/>
              </w:rPr>
              <w:t>Average</w:t>
            </w:r>
          </w:p>
        </w:tc>
      </w:tr>
      <w:tr w:rsidR="00E52226" w:rsidRPr="00E52226" w14:paraId="7A1D0429" w14:textId="77777777" w:rsidTr="00E52226">
        <w:trPr>
          <w:trHeight w:val="285"/>
        </w:trPr>
        <w:tc>
          <w:tcPr>
            <w:tcW w:w="2820" w:type="dxa"/>
            <w:tcBorders>
              <w:top w:val="single" w:sz="4" w:space="0" w:color="000000"/>
              <w:left w:val="single" w:sz="4" w:space="0" w:color="000000"/>
              <w:bottom w:val="single" w:sz="4" w:space="0" w:color="000000"/>
              <w:right w:val="nil"/>
            </w:tcBorders>
            <w:shd w:val="clear" w:color="FFFFFF" w:fill="FFFFFF"/>
            <w:noWrap/>
            <w:vAlign w:val="bottom"/>
            <w:hideMark/>
          </w:tcPr>
          <w:p w14:paraId="57809698" w14:textId="77777777" w:rsidR="00E52226" w:rsidRPr="00E52226" w:rsidRDefault="00E52226" w:rsidP="00E52226">
            <w:pPr>
              <w:suppressAutoHyphens w:val="0"/>
              <w:autoSpaceDN/>
              <w:spacing w:after="0" w:line="240" w:lineRule="auto"/>
              <w:rPr>
                <w:rFonts w:cs="Arial"/>
                <w:color w:val="000000"/>
                <w:sz w:val="20"/>
                <w:szCs w:val="20"/>
              </w:rPr>
            </w:pPr>
            <w:r w:rsidRPr="00E52226">
              <w:rPr>
                <w:rFonts w:cs="Arial"/>
                <w:color w:val="000000"/>
                <w:sz w:val="20"/>
                <w:szCs w:val="20"/>
              </w:rPr>
              <w:t>Year 4(ALL)</w:t>
            </w:r>
          </w:p>
        </w:tc>
        <w:tc>
          <w:tcPr>
            <w:tcW w:w="440" w:type="dxa"/>
            <w:tcBorders>
              <w:top w:val="single" w:sz="4" w:space="0" w:color="auto"/>
              <w:left w:val="single" w:sz="4" w:space="0" w:color="auto"/>
              <w:bottom w:val="single" w:sz="4" w:space="0" w:color="auto"/>
              <w:right w:val="single" w:sz="4" w:space="0" w:color="auto"/>
            </w:tcBorders>
            <w:noWrap/>
            <w:vAlign w:val="bottom"/>
            <w:hideMark/>
          </w:tcPr>
          <w:p w14:paraId="7B1E32D6" w14:textId="77777777" w:rsidR="00E52226" w:rsidRPr="00E52226" w:rsidRDefault="00E52226" w:rsidP="00E52226">
            <w:pPr>
              <w:suppressAutoHyphens w:val="0"/>
              <w:autoSpaceDN/>
              <w:spacing w:after="0" w:line="240" w:lineRule="auto"/>
              <w:jc w:val="right"/>
              <w:rPr>
                <w:rFonts w:ascii="Calibri" w:hAnsi="Calibri" w:cs="Calibri"/>
                <w:color w:val="000000"/>
                <w:sz w:val="22"/>
                <w:szCs w:val="22"/>
              </w:rPr>
            </w:pPr>
            <w:r w:rsidRPr="00E52226">
              <w:rPr>
                <w:rFonts w:ascii="Calibri" w:hAnsi="Calibri" w:cs="Calibri"/>
                <w:color w:val="000000"/>
                <w:sz w:val="22"/>
                <w:szCs w:val="22"/>
              </w:rPr>
              <w:t>30</w:t>
            </w:r>
          </w:p>
        </w:tc>
        <w:tc>
          <w:tcPr>
            <w:tcW w:w="459" w:type="dxa"/>
            <w:tcBorders>
              <w:top w:val="single" w:sz="4" w:space="0" w:color="000000"/>
              <w:left w:val="single" w:sz="4" w:space="0" w:color="000000"/>
              <w:bottom w:val="single" w:sz="4" w:space="0" w:color="000000"/>
              <w:right w:val="single" w:sz="4" w:space="0" w:color="000000"/>
            </w:tcBorders>
            <w:noWrap/>
            <w:vAlign w:val="bottom"/>
            <w:hideMark/>
          </w:tcPr>
          <w:p w14:paraId="509131FA" w14:textId="77777777" w:rsidR="00E52226" w:rsidRPr="00E52226" w:rsidRDefault="00E52226" w:rsidP="00E52226">
            <w:pPr>
              <w:suppressAutoHyphens w:val="0"/>
              <w:autoSpaceDN/>
              <w:spacing w:after="0" w:line="240" w:lineRule="auto"/>
              <w:jc w:val="right"/>
              <w:rPr>
                <w:rFonts w:ascii="Calibri" w:hAnsi="Calibri" w:cs="Calibri"/>
                <w:color w:val="000000"/>
                <w:sz w:val="22"/>
                <w:szCs w:val="22"/>
              </w:rPr>
            </w:pPr>
            <w:r w:rsidRPr="00E52226">
              <w:rPr>
                <w:rFonts w:ascii="Calibri" w:hAnsi="Calibri" w:cs="Calibri"/>
                <w:color w:val="000000"/>
                <w:sz w:val="22"/>
                <w:szCs w:val="22"/>
              </w:rPr>
              <w:t>77</w:t>
            </w:r>
          </w:p>
        </w:tc>
        <w:tc>
          <w:tcPr>
            <w:tcW w:w="607" w:type="dxa"/>
            <w:tcBorders>
              <w:top w:val="single" w:sz="4" w:space="0" w:color="000000"/>
              <w:left w:val="single" w:sz="4" w:space="0" w:color="000000"/>
              <w:bottom w:val="single" w:sz="4" w:space="0" w:color="000000"/>
              <w:right w:val="single" w:sz="4" w:space="0" w:color="000000"/>
            </w:tcBorders>
            <w:noWrap/>
            <w:vAlign w:val="bottom"/>
            <w:hideMark/>
          </w:tcPr>
          <w:p w14:paraId="6D3735EF" w14:textId="77777777" w:rsidR="00E52226" w:rsidRPr="00E52226" w:rsidRDefault="00E52226" w:rsidP="00E52226">
            <w:pPr>
              <w:suppressAutoHyphens w:val="0"/>
              <w:autoSpaceDN/>
              <w:spacing w:after="0" w:line="240" w:lineRule="auto"/>
              <w:jc w:val="right"/>
              <w:rPr>
                <w:rFonts w:ascii="Calibri" w:hAnsi="Calibri" w:cs="Calibri"/>
                <w:color w:val="000000"/>
                <w:sz w:val="22"/>
                <w:szCs w:val="22"/>
              </w:rPr>
            </w:pPr>
            <w:r w:rsidRPr="00E52226">
              <w:rPr>
                <w:rFonts w:ascii="Calibri" w:hAnsi="Calibri" w:cs="Calibri"/>
                <w:color w:val="000000"/>
                <w:sz w:val="22"/>
                <w:szCs w:val="22"/>
              </w:rPr>
              <w:t>23.6</w:t>
            </w:r>
          </w:p>
        </w:tc>
      </w:tr>
      <w:tr w:rsidR="00E52226" w:rsidRPr="00E52226" w14:paraId="751D4849" w14:textId="77777777" w:rsidTr="00E52226">
        <w:trPr>
          <w:trHeight w:val="285"/>
        </w:trPr>
        <w:tc>
          <w:tcPr>
            <w:tcW w:w="2820" w:type="dxa"/>
            <w:tcBorders>
              <w:top w:val="single" w:sz="4" w:space="0" w:color="000000"/>
              <w:left w:val="single" w:sz="4" w:space="0" w:color="000000"/>
              <w:bottom w:val="single" w:sz="4" w:space="0" w:color="000000"/>
              <w:right w:val="nil"/>
            </w:tcBorders>
            <w:shd w:val="clear" w:color="FFFFFF" w:fill="FFFFFF"/>
            <w:noWrap/>
            <w:vAlign w:val="bottom"/>
            <w:hideMark/>
          </w:tcPr>
          <w:p w14:paraId="5CFCD324" w14:textId="77777777" w:rsidR="00E52226" w:rsidRPr="00E52226" w:rsidRDefault="00E52226" w:rsidP="00E52226">
            <w:pPr>
              <w:suppressAutoHyphens w:val="0"/>
              <w:autoSpaceDN/>
              <w:spacing w:after="0" w:line="240" w:lineRule="auto"/>
              <w:rPr>
                <w:rFonts w:cs="Arial"/>
                <w:color w:val="000000"/>
                <w:sz w:val="20"/>
                <w:szCs w:val="20"/>
              </w:rPr>
            </w:pPr>
            <w:r w:rsidRPr="00E52226">
              <w:rPr>
                <w:rFonts w:cs="Arial"/>
                <w:color w:val="000000"/>
                <w:sz w:val="20"/>
                <w:szCs w:val="20"/>
              </w:rPr>
              <w:t xml:space="preserve">Pupil Premium </w:t>
            </w:r>
          </w:p>
        </w:tc>
        <w:tc>
          <w:tcPr>
            <w:tcW w:w="440" w:type="dxa"/>
            <w:tcBorders>
              <w:top w:val="single" w:sz="4" w:space="0" w:color="auto"/>
              <w:left w:val="single" w:sz="4" w:space="0" w:color="auto"/>
              <w:bottom w:val="single" w:sz="4" w:space="0" w:color="auto"/>
              <w:right w:val="single" w:sz="4" w:space="0" w:color="auto"/>
            </w:tcBorders>
            <w:noWrap/>
            <w:vAlign w:val="bottom"/>
            <w:hideMark/>
          </w:tcPr>
          <w:p w14:paraId="6A3CE88A" w14:textId="77777777" w:rsidR="00E52226" w:rsidRPr="00E52226" w:rsidRDefault="00E52226" w:rsidP="00E52226">
            <w:pPr>
              <w:suppressAutoHyphens w:val="0"/>
              <w:autoSpaceDN/>
              <w:spacing w:after="0" w:line="240" w:lineRule="auto"/>
              <w:jc w:val="right"/>
              <w:rPr>
                <w:rFonts w:ascii="Calibri" w:hAnsi="Calibri" w:cs="Calibri"/>
                <w:color w:val="000000"/>
                <w:sz w:val="22"/>
                <w:szCs w:val="22"/>
              </w:rPr>
            </w:pPr>
            <w:r w:rsidRPr="00E52226">
              <w:rPr>
                <w:rFonts w:ascii="Calibri" w:hAnsi="Calibri" w:cs="Calibri"/>
                <w:color w:val="000000"/>
                <w:sz w:val="22"/>
                <w:szCs w:val="22"/>
              </w:rPr>
              <w:t>9</w:t>
            </w:r>
          </w:p>
        </w:tc>
        <w:tc>
          <w:tcPr>
            <w:tcW w:w="459" w:type="dxa"/>
            <w:tcBorders>
              <w:top w:val="single" w:sz="4" w:space="0" w:color="000000"/>
              <w:left w:val="single" w:sz="4" w:space="0" w:color="000000"/>
              <w:bottom w:val="single" w:sz="4" w:space="0" w:color="000000"/>
              <w:right w:val="single" w:sz="4" w:space="0" w:color="000000"/>
            </w:tcBorders>
            <w:noWrap/>
            <w:vAlign w:val="bottom"/>
            <w:hideMark/>
          </w:tcPr>
          <w:p w14:paraId="3DB1D584" w14:textId="77777777" w:rsidR="00E52226" w:rsidRPr="00E52226" w:rsidRDefault="00E52226" w:rsidP="00E52226">
            <w:pPr>
              <w:suppressAutoHyphens w:val="0"/>
              <w:autoSpaceDN/>
              <w:spacing w:after="0" w:line="240" w:lineRule="auto"/>
              <w:jc w:val="right"/>
              <w:rPr>
                <w:rFonts w:ascii="Calibri" w:hAnsi="Calibri" w:cs="Calibri"/>
                <w:color w:val="000000"/>
                <w:sz w:val="22"/>
                <w:szCs w:val="22"/>
              </w:rPr>
            </w:pPr>
            <w:r w:rsidRPr="00E52226">
              <w:rPr>
                <w:rFonts w:ascii="Calibri" w:hAnsi="Calibri" w:cs="Calibri"/>
                <w:color w:val="000000"/>
                <w:sz w:val="22"/>
                <w:szCs w:val="22"/>
              </w:rPr>
              <w:t>56</w:t>
            </w:r>
          </w:p>
        </w:tc>
        <w:tc>
          <w:tcPr>
            <w:tcW w:w="607" w:type="dxa"/>
            <w:tcBorders>
              <w:top w:val="single" w:sz="4" w:space="0" w:color="000000"/>
              <w:left w:val="single" w:sz="4" w:space="0" w:color="000000"/>
              <w:bottom w:val="single" w:sz="4" w:space="0" w:color="000000"/>
              <w:right w:val="single" w:sz="4" w:space="0" w:color="000000"/>
            </w:tcBorders>
            <w:noWrap/>
            <w:vAlign w:val="bottom"/>
            <w:hideMark/>
          </w:tcPr>
          <w:p w14:paraId="6A590B8E" w14:textId="77777777" w:rsidR="00E52226" w:rsidRPr="00E52226" w:rsidRDefault="00E52226" w:rsidP="00E52226">
            <w:pPr>
              <w:suppressAutoHyphens w:val="0"/>
              <w:autoSpaceDN/>
              <w:spacing w:after="0" w:line="240" w:lineRule="auto"/>
              <w:jc w:val="right"/>
              <w:rPr>
                <w:rFonts w:ascii="Calibri" w:hAnsi="Calibri" w:cs="Calibri"/>
                <w:color w:val="000000"/>
                <w:sz w:val="22"/>
                <w:szCs w:val="22"/>
              </w:rPr>
            </w:pPr>
            <w:r w:rsidRPr="00E52226">
              <w:rPr>
                <w:rFonts w:ascii="Calibri" w:hAnsi="Calibri" w:cs="Calibri"/>
                <w:color w:val="000000"/>
                <w:sz w:val="22"/>
                <w:szCs w:val="22"/>
              </w:rPr>
              <w:t>21.2</w:t>
            </w:r>
          </w:p>
        </w:tc>
      </w:tr>
      <w:tr w:rsidR="00E52226" w:rsidRPr="00E52226" w14:paraId="4D9B1A70" w14:textId="77777777" w:rsidTr="00E52226">
        <w:trPr>
          <w:trHeight w:val="285"/>
        </w:trPr>
        <w:tc>
          <w:tcPr>
            <w:tcW w:w="2820" w:type="dxa"/>
            <w:tcBorders>
              <w:top w:val="single" w:sz="4" w:space="0" w:color="000000"/>
              <w:left w:val="single" w:sz="4" w:space="0" w:color="000000"/>
              <w:bottom w:val="single" w:sz="4" w:space="0" w:color="000000"/>
              <w:right w:val="nil"/>
            </w:tcBorders>
            <w:shd w:val="clear" w:color="FFFFFF" w:fill="FFFFFF"/>
            <w:noWrap/>
            <w:vAlign w:val="bottom"/>
            <w:hideMark/>
          </w:tcPr>
          <w:p w14:paraId="7F6B0277" w14:textId="77777777" w:rsidR="00E52226" w:rsidRPr="00E52226" w:rsidRDefault="00E52226" w:rsidP="00E52226">
            <w:pPr>
              <w:suppressAutoHyphens w:val="0"/>
              <w:autoSpaceDN/>
              <w:spacing w:after="0" w:line="240" w:lineRule="auto"/>
              <w:rPr>
                <w:rFonts w:cs="Arial"/>
                <w:color w:val="000000"/>
                <w:sz w:val="20"/>
                <w:szCs w:val="20"/>
              </w:rPr>
            </w:pPr>
            <w:r w:rsidRPr="00E52226">
              <w:rPr>
                <w:rFonts w:cs="Arial"/>
                <w:color w:val="000000"/>
                <w:sz w:val="20"/>
                <w:szCs w:val="20"/>
              </w:rPr>
              <w:t xml:space="preserve">Non Pupil Premium </w:t>
            </w:r>
          </w:p>
        </w:tc>
        <w:tc>
          <w:tcPr>
            <w:tcW w:w="440" w:type="dxa"/>
            <w:tcBorders>
              <w:top w:val="single" w:sz="4" w:space="0" w:color="auto"/>
              <w:left w:val="single" w:sz="4" w:space="0" w:color="auto"/>
              <w:bottom w:val="single" w:sz="4" w:space="0" w:color="auto"/>
              <w:right w:val="single" w:sz="4" w:space="0" w:color="auto"/>
            </w:tcBorders>
            <w:noWrap/>
            <w:vAlign w:val="bottom"/>
            <w:hideMark/>
          </w:tcPr>
          <w:p w14:paraId="474A8970" w14:textId="77777777" w:rsidR="00E52226" w:rsidRPr="00E52226" w:rsidRDefault="00E52226" w:rsidP="00E52226">
            <w:pPr>
              <w:suppressAutoHyphens w:val="0"/>
              <w:autoSpaceDN/>
              <w:spacing w:after="0" w:line="240" w:lineRule="auto"/>
              <w:jc w:val="right"/>
              <w:rPr>
                <w:rFonts w:ascii="Calibri" w:hAnsi="Calibri" w:cs="Calibri"/>
                <w:color w:val="000000"/>
                <w:sz w:val="22"/>
                <w:szCs w:val="22"/>
              </w:rPr>
            </w:pPr>
            <w:r w:rsidRPr="00E52226">
              <w:rPr>
                <w:rFonts w:ascii="Calibri" w:hAnsi="Calibri" w:cs="Calibri"/>
                <w:color w:val="000000"/>
                <w:sz w:val="22"/>
                <w:szCs w:val="22"/>
              </w:rPr>
              <w:t>21</w:t>
            </w:r>
          </w:p>
        </w:tc>
        <w:tc>
          <w:tcPr>
            <w:tcW w:w="459" w:type="dxa"/>
            <w:tcBorders>
              <w:top w:val="single" w:sz="4" w:space="0" w:color="000000"/>
              <w:left w:val="single" w:sz="4" w:space="0" w:color="000000"/>
              <w:bottom w:val="single" w:sz="4" w:space="0" w:color="000000"/>
              <w:right w:val="single" w:sz="4" w:space="0" w:color="000000"/>
            </w:tcBorders>
            <w:noWrap/>
            <w:vAlign w:val="bottom"/>
            <w:hideMark/>
          </w:tcPr>
          <w:p w14:paraId="1187716C" w14:textId="77777777" w:rsidR="00E52226" w:rsidRPr="00E52226" w:rsidRDefault="00E52226" w:rsidP="00E52226">
            <w:pPr>
              <w:suppressAutoHyphens w:val="0"/>
              <w:autoSpaceDN/>
              <w:spacing w:after="0" w:line="240" w:lineRule="auto"/>
              <w:jc w:val="right"/>
              <w:rPr>
                <w:rFonts w:ascii="Calibri" w:hAnsi="Calibri" w:cs="Calibri"/>
                <w:color w:val="000000"/>
                <w:sz w:val="22"/>
                <w:szCs w:val="22"/>
              </w:rPr>
            </w:pPr>
            <w:r w:rsidRPr="00E52226">
              <w:rPr>
                <w:rFonts w:ascii="Calibri" w:hAnsi="Calibri" w:cs="Calibri"/>
                <w:color w:val="000000"/>
                <w:sz w:val="22"/>
                <w:szCs w:val="22"/>
              </w:rPr>
              <w:t>86</w:t>
            </w:r>
          </w:p>
        </w:tc>
        <w:tc>
          <w:tcPr>
            <w:tcW w:w="607" w:type="dxa"/>
            <w:tcBorders>
              <w:top w:val="single" w:sz="4" w:space="0" w:color="000000"/>
              <w:left w:val="single" w:sz="4" w:space="0" w:color="000000"/>
              <w:bottom w:val="single" w:sz="4" w:space="0" w:color="000000"/>
              <w:right w:val="single" w:sz="4" w:space="0" w:color="000000"/>
            </w:tcBorders>
            <w:noWrap/>
            <w:vAlign w:val="bottom"/>
            <w:hideMark/>
          </w:tcPr>
          <w:p w14:paraId="1416E6A6" w14:textId="77777777" w:rsidR="00E52226" w:rsidRPr="00E52226" w:rsidRDefault="00E52226" w:rsidP="00E52226">
            <w:pPr>
              <w:suppressAutoHyphens w:val="0"/>
              <w:autoSpaceDN/>
              <w:spacing w:after="0" w:line="240" w:lineRule="auto"/>
              <w:jc w:val="right"/>
              <w:rPr>
                <w:rFonts w:ascii="Calibri" w:hAnsi="Calibri" w:cs="Calibri"/>
                <w:color w:val="000000"/>
                <w:sz w:val="22"/>
                <w:szCs w:val="22"/>
              </w:rPr>
            </w:pPr>
            <w:r w:rsidRPr="00E52226">
              <w:rPr>
                <w:rFonts w:ascii="Calibri" w:hAnsi="Calibri" w:cs="Calibri"/>
                <w:color w:val="000000"/>
                <w:sz w:val="22"/>
                <w:szCs w:val="22"/>
              </w:rPr>
              <w:t>24.6</w:t>
            </w:r>
          </w:p>
        </w:tc>
      </w:tr>
      <w:tr w:rsidR="00E52226" w:rsidRPr="00E52226" w14:paraId="29937E55" w14:textId="77777777" w:rsidTr="00E52226">
        <w:trPr>
          <w:trHeight w:val="285"/>
        </w:trPr>
        <w:tc>
          <w:tcPr>
            <w:tcW w:w="2820" w:type="dxa"/>
            <w:tcBorders>
              <w:top w:val="single" w:sz="4" w:space="0" w:color="000000"/>
              <w:left w:val="single" w:sz="4" w:space="0" w:color="000000"/>
              <w:bottom w:val="single" w:sz="4" w:space="0" w:color="000000"/>
              <w:right w:val="nil"/>
            </w:tcBorders>
            <w:shd w:val="clear" w:color="FFFFFF" w:fill="FFFFFF"/>
            <w:noWrap/>
            <w:vAlign w:val="bottom"/>
            <w:hideMark/>
          </w:tcPr>
          <w:p w14:paraId="52521400" w14:textId="77777777" w:rsidR="00E52226" w:rsidRPr="00E52226" w:rsidRDefault="00E52226" w:rsidP="00E52226">
            <w:pPr>
              <w:suppressAutoHyphens w:val="0"/>
              <w:autoSpaceDN/>
              <w:spacing w:after="0" w:line="240" w:lineRule="auto"/>
              <w:rPr>
                <w:rFonts w:cs="Arial"/>
                <w:color w:val="000000"/>
                <w:sz w:val="20"/>
                <w:szCs w:val="20"/>
              </w:rPr>
            </w:pPr>
            <w:r w:rsidRPr="00E52226">
              <w:rPr>
                <w:rFonts w:cs="Arial"/>
                <w:color w:val="000000"/>
                <w:sz w:val="20"/>
                <w:szCs w:val="20"/>
              </w:rPr>
              <w:t>Pupil Premium but not SEN</w:t>
            </w:r>
          </w:p>
        </w:tc>
        <w:tc>
          <w:tcPr>
            <w:tcW w:w="440" w:type="dxa"/>
            <w:tcBorders>
              <w:top w:val="single" w:sz="4" w:space="0" w:color="auto"/>
              <w:left w:val="single" w:sz="4" w:space="0" w:color="auto"/>
              <w:bottom w:val="single" w:sz="4" w:space="0" w:color="auto"/>
              <w:right w:val="single" w:sz="4" w:space="0" w:color="auto"/>
            </w:tcBorders>
            <w:noWrap/>
            <w:vAlign w:val="bottom"/>
            <w:hideMark/>
          </w:tcPr>
          <w:p w14:paraId="31D6319F" w14:textId="77777777" w:rsidR="00E52226" w:rsidRPr="00E52226" w:rsidRDefault="00E52226" w:rsidP="00E52226">
            <w:pPr>
              <w:suppressAutoHyphens w:val="0"/>
              <w:autoSpaceDN/>
              <w:spacing w:after="0" w:line="240" w:lineRule="auto"/>
              <w:jc w:val="right"/>
              <w:rPr>
                <w:rFonts w:ascii="Calibri" w:hAnsi="Calibri" w:cs="Calibri"/>
                <w:color w:val="000000"/>
                <w:sz w:val="22"/>
                <w:szCs w:val="22"/>
              </w:rPr>
            </w:pPr>
            <w:r w:rsidRPr="00E52226">
              <w:rPr>
                <w:rFonts w:ascii="Calibri" w:hAnsi="Calibri" w:cs="Calibri"/>
                <w:color w:val="000000"/>
                <w:sz w:val="22"/>
                <w:szCs w:val="22"/>
              </w:rPr>
              <w:t>7</w:t>
            </w:r>
          </w:p>
        </w:tc>
        <w:tc>
          <w:tcPr>
            <w:tcW w:w="459" w:type="dxa"/>
            <w:tcBorders>
              <w:top w:val="single" w:sz="4" w:space="0" w:color="000000"/>
              <w:left w:val="single" w:sz="4" w:space="0" w:color="000000"/>
              <w:bottom w:val="single" w:sz="4" w:space="0" w:color="000000"/>
              <w:right w:val="single" w:sz="4" w:space="0" w:color="000000"/>
            </w:tcBorders>
            <w:noWrap/>
            <w:vAlign w:val="bottom"/>
            <w:hideMark/>
          </w:tcPr>
          <w:p w14:paraId="013A70A4" w14:textId="77777777" w:rsidR="00E52226" w:rsidRPr="00E52226" w:rsidRDefault="00E52226" w:rsidP="00E52226">
            <w:pPr>
              <w:suppressAutoHyphens w:val="0"/>
              <w:autoSpaceDN/>
              <w:spacing w:after="0" w:line="240" w:lineRule="auto"/>
              <w:jc w:val="right"/>
              <w:rPr>
                <w:rFonts w:ascii="Calibri" w:hAnsi="Calibri" w:cs="Calibri"/>
                <w:color w:val="000000"/>
                <w:sz w:val="22"/>
                <w:szCs w:val="22"/>
              </w:rPr>
            </w:pPr>
            <w:r w:rsidRPr="00E52226">
              <w:rPr>
                <w:rFonts w:ascii="Calibri" w:hAnsi="Calibri" w:cs="Calibri"/>
                <w:color w:val="000000"/>
                <w:sz w:val="22"/>
                <w:szCs w:val="22"/>
              </w:rPr>
              <w:t>57</w:t>
            </w:r>
          </w:p>
        </w:tc>
        <w:tc>
          <w:tcPr>
            <w:tcW w:w="607" w:type="dxa"/>
            <w:tcBorders>
              <w:top w:val="single" w:sz="4" w:space="0" w:color="000000"/>
              <w:left w:val="single" w:sz="4" w:space="0" w:color="000000"/>
              <w:bottom w:val="single" w:sz="4" w:space="0" w:color="000000"/>
              <w:right w:val="single" w:sz="4" w:space="0" w:color="000000"/>
            </w:tcBorders>
            <w:noWrap/>
            <w:vAlign w:val="bottom"/>
            <w:hideMark/>
          </w:tcPr>
          <w:p w14:paraId="39FFE8D1" w14:textId="77777777" w:rsidR="00E52226" w:rsidRPr="00E52226" w:rsidRDefault="00E52226" w:rsidP="00E52226">
            <w:pPr>
              <w:suppressAutoHyphens w:val="0"/>
              <w:autoSpaceDN/>
              <w:spacing w:after="0" w:line="240" w:lineRule="auto"/>
              <w:jc w:val="right"/>
              <w:rPr>
                <w:rFonts w:ascii="Calibri" w:hAnsi="Calibri" w:cs="Calibri"/>
                <w:color w:val="000000"/>
                <w:sz w:val="22"/>
                <w:szCs w:val="22"/>
              </w:rPr>
            </w:pPr>
            <w:r w:rsidRPr="00E52226">
              <w:rPr>
                <w:rFonts w:ascii="Calibri" w:hAnsi="Calibri" w:cs="Calibri"/>
                <w:color w:val="000000"/>
                <w:sz w:val="22"/>
                <w:szCs w:val="22"/>
              </w:rPr>
              <w:t>22.3</w:t>
            </w:r>
          </w:p>
        </w:tc>
      </w:tr>
      <w:tr w:rsidR="00E52226" w:rsidRPr="00E52226" w14:paraId="6D8DA2B8" w14:textId="77777777" w:rsidTr="00E52226">
        <w:trPr>
          <w:trHeight w:val="285"/>
        </w:trPr>
        <w:tc>
          <w:tcPr>
            <w:tcW w:w="2820" w:type="dxa"/>
            <w:tcBorders>
              <w:top w:val="single" w:sz="4" w:space="0" w:color="000000"/>
              <w:left w:val="single" w:sz="4" w:space="0" w:color="000000"/>
              <w:bottom w:val="single" w:sz="4" w:space="0" w:color="000000"/>
              <w:right w:val="nil"/>
            </w:tcBorders>
            <w:shd w:val="clear" w:color="BFBFBF" w:fill="92D050"/>
            <w:noWrap/>
            <w:vAlign w:val="bottom"/>
            <w:hideMark/>
          </w:tcPr>
          <w:p w14:paraId="1A62511B" w14:textId="77777777" w:rsidR="00E52226" w:rsidRPr="00E52226" w:rsidRDefault="00E52226" w:rsidP="00E52226">
            <w:pPr>
              <w:suppressAutoHyphens w:val="0"/>
              <w:autoSpaceDN/>
              <w:spacing w:after="0" w:line="240" w:lineRule="auto"/>
              <w:rPr>
                <w:rFonts w:cs="Arial"/>
                <w:color w:val="000000"/>
                <w:sz w:val="20"/>
                <w:szCs w:val="20"/>
              </w:rPr>
            </w:pPr>
            <w:r w:rsidRPr="00E52226">
              <w:rPr>
                <w:rFonts w:cs="Arial"/>
                <w:color w:val="000000"/>
                <w:sz w:val="20"/>
                <w:szCs w:val="20"/>
              </w:rPr>
              <w:t>Difference (PP and non)</w:t>
            </w:r>
          </w:p>
        </w:tc>
        <w:tc>
          <w:tcPr>
            <w:tcW w:w="440" w:type="dxa"/>
            <w:tcBorders>
              <w:top w:val="single" w:sz="4" w:space="0" w:color="auto"/>
              <w:left w:val="single" w:sz="4" w:space="0" w:color="auto"/>
              <w:bottom w:val="single" w:sz="4" w:space="0" w:color="auto"/>
              <w:right w:val="single" w:sz="4" w:space="0" w:color="auto"/>
            </w:tcBorders>
            <w:noWrap/>
            <w:vAlign w:val="bottom"/>
            <w:hideMark/>
          </w:tcPr>
          <w:p w14:paraId="48CE4490" w14:textId="77777777" w:rsidR="00E52226" w:rsidRPr="00E52226" w:rsidRDefault="00E52226" w:rsidP="00E52226">
            <w:pPr>
              <w:suppressAutoHyphens w:val="0"/>
              <w:autoSpaceDN/>
              <w:spacing w:after="0" w:line="240" w:lineRule="auto"/>
              <w:rPr>
                <w:rFonts w:cs="Arial"/>
                <w:color w:val="000000"/>
                <w:sz w:val="20"/>
                <w:szCs w:val="20"/>
              </w:rPr>
            </w:pPr>
          </w:p>
        </w:tc>
        <w:tc>
          <w:tcPr>
            <w:tcW w:w="459" w:type="dxa"/>
            <w:tcBorders>
              <w:top w:val="single" w:sz="4" w:space="0" w:color="000000"/>
              <w:left w:val="single" w:sz="4" w:space="0" w:color="000000"/>
              <w:bottom w:val="single" w:sz="4" w:space="0" w:color="000000"/>
              <w:right w:val="single" w:sz="4" w:space="0" w:color="000000"/>
            </w:tcBorders>
            <w:noWrap/>
            <w:vAlign w:val="bottom"/>
            <w:hideMark/>
          </w:tcPr>
          <w:p w14:paraId="2C29144B" w14:textId="77777777" w:rsidR="00E52226" w:rsidRPr="00E52226" w:rsidRDefault="00E52226" w:rsidP="00E52226">
            <w:pPr>
              <w:suppressAutoHyphens w:val="0"/>
              <w:autoSpaceDN/>
              <w:spacing w:after="0" w:line="240" w:lineRule="auto"/>
              <w:jc w:val="right"/>
              <w:rPr>
                <w:rFonts w:ascii="Calibri" w:hAnsi="Calibri" w:cs="Calibri"/>
                <w:color w:val="FF0000"/>
                <w:sz w:val="22"/>
                <w:szCs w:val="22"/>
              </w:rPr>
            </w:pPr>
            <w:r w:rsidRPr="00E52226">
              <w:rPr>
                <w:rFonts w:ascii="Calibri" w:hAnsi="Calibri" w:cs="Calibri"/>
                <w:color w:val="FF0000"/>
                <w:sz w:val="22"/>
                <w:szCs w:val="22"/>
              </w:rPr>
              <w:t>-30</w:t>
            </w:r>
          </w:p>
        </w:tc>
        <w:tc>
          <w:tcPr>
            <w:tcW w:w="607" w:type="dxa"/>
            <w:tcBorders>
              <w:top w:val="single" w:sz="4" w:space="0" w:color="000000"/>
              <w:left w:val="single" w:sz="4" w:space="0" w:color="000000"/>
              <w:bottom w:val="single" w:sz="4" w:space="0" w:color="000000"/>
              <w:right w:val="single" w:sz="4" w:space="0" w:color="000000"/>
            </w:tcBorders>
            <w:noWrap/>
            <w:vAlign w:val="bottom"/>
            <w:hideMark/>
          </w:tcPr>
          <w:p w14:paraId="3EFC3BC4" w14:textId="77777777" w:rsidR="00E52226" w:rsidRPr="00E52226" w:rsidRDefault="00E52226" w:rsidP="00E52226">
            <w:pPr>
              <w:suppressAutoHyphens w:val="0"/>
              <w:autoSpaceDN/>
              <w:spacing w:after="0" w:line="240" w:lineRule="auto"/>
              <w:jc w:val="right"/>
              <w:rPr>
                <w:rFonts w:ascii="Calibri" w:hAnsi="Calibri" w:cs="Calibri"/>
                <w:color w:val="FF0000"/>
                <w:sz w:val="22"/>
                <w:szCs w:val="22"/>
              </w:rPr>
            </w:pPr>
            <w:r w:rsidRPr="00E52226">
              <w:rPr>
                <w:rFonts w:ascii="Calibri" w:hAnsi="Calibri" w:cs="Calibri"/>
                <w:color w:val="FF0000"/>
                <w:sz w:val="22"/>
                <w:szCs w:val="22"/>
              </w:rPr>
              <w:t>-3.4</w:t>
            </w:r>
          </w:p>
        </w:tc>
      </w:tr>
    </w:tbl>
    <w:p w14:paraId="292DA337" w14:textId="5295857D" w:rsidR="00B83D89" w:rsidRPr="00755F9F" w:rsidRDefault="00B83D89" w:rsidP="00755F9F">
      <w:pPr>
        <w:rPr>
          <w:b/>
        </w:rPr>
      </w:pPr>
    </w:p>
    <w:p w14:paraId="37594D00" w14:textId="3A067EE6" w:rsidR="00C32F70" w:rsidRDefault="00B83D89" w:rsidP="00C32F70">
      <w:pPr>
        <w:rPr>
          <w:sz w:val="22"/>
          <w:szCs w:val="22"/>
          <w:u w:val="single"/>
        </w:rPr>
      </w:pPr>
      <w:r w:rsidRPr="0056688C">
        <w:rPr>
          <w:sz w:val="22"/>
          <w:szCs w:val="22"/>
          <w:u w:val="single"/>
        </w:rPr>
        <w:t>Year 6 SATS results</w:t>
      </w:r>
    </w:p>
    <w:p w14:paraId="388F59CA" w14:textId="11DB6057" w:rsidR="00E706AD" w:rsidRPr="00CF5075" w:rsidRDefault="00E706AD" w:rsidP="00E706AD">
      <w:pPr>
        <w:rPr>
          <w:b/>
          <w:u w:val="single"/>
        </w:rPr>
      </w:pPr>
      <w:r w:rsidRPr="00CF5075">
        <w:rPr>
          <w:b/>
          <w:u w:val="single"/>
        </w:rPr>
        <w:t xml:space="preserve">Pupil Premium: </w:t>
      </w:r>
      <w:r>
        <w:rPr>
          <w:b/>
          <w:u w:val="single"/>
        </w:rPr>
        <w:t xml:space="preserve">(10 children) </w:t>
      </w:r>
      <w:r w:rsidRPr="00CF5075">
        <w:rPr>
          <w:b/>
          <w:u w:val="single"/>
        </w:rPr>
        <w:t xml:space="preserve"> </w:t>
      </w:r>
    </w:p>
    <w:tbl>
      <w:tblPr>
        <w:tblStyle w:val="TableGrid"/>
        <w:tblW w:w="0" w:type="auto"/>
        <w:tblLook w:val="04A0" w:firstRow="1" w:lastRow="0" w:firstColumn="1" w:lastColumn="0" w:noHBand="0" w:noVBand="1"/>
      </w:tblPr>
      <w:tblGrid>
        <w:gridCol w:w="1284"/>
        <w:gridCol w:w="993"/>
        <w:gridCol w:w="1134"/>
      </w:tblGrid>
      <w:tr w:rsidR="00E706AD" w14:paraId="35ABB582" w14:textId="77777777" w:rsidTr="00B915C7">
        <w:tc>
          <w:tcPr>
            <w:tcW w:w="1129" w:type="dxa"/>
          </w:tcPr>
          <w:p w14:paraId="6E746742" w14:textId="77777777" w:rsidR="00E706AD" w:rsidRPr="003F3ECB" w:rsidRDefault="00E706AD" w:rsidP="00B915C7">
            <w:pPr>
              <w:rPr>
                <w:b/>
              </w:rPr>
            </w:pPr>
            <w:r w:rsidRPr="003F3ECB">
              <w:rPr>
                <w:b/>
              </w:rPr>
              <w:t>Expected</w:t>
            </w:r>
          </w:p>
        </w:tc>
        <w:tc>
          <w:tcPr>
            <w:tcW w:w="993" w:type="dxa"/>
          </w:tcPr>
          <w:p w14:paraId="02AA36C2" w14:textId="77777777" w:rsidR="00E706AD" w:rsidRPr="003F3ECB" w:rsidRDefault="00E706AD" w:rsidP="00B915C7">
            <w:pPr>
              <w:rPr>
                <w:b/>
              </w:rPr>
            </w:pPr>
            <w:r w:rsidRPr="003F3ECB">
              <w:rPr>
                <w:b/>
              </w:rPr>
              <w:t>PP</w:t>
            </w:r>
          </w:p>
        </w:tc>
        <w:tc>
          <w:tcPr>
            <w:tcW w:w="1134" w:type="dxa"/>
          </w:tcPr>
          <w:p w14:paraId="5703539E" w14:textId="77777777" w:rsidR="00E706AD" w:rsidRPr="003F3ECB" w:rsidRDefault="00E706AD" w:rsidP="00B915C7">
            <w:pPr>
              <w:rPr>
                <w:b/>
              </w:rPr>
            </w:pPr>
            <w:r w:rsidRPr="003F3ECB">
              <w:rPr>
                <w:b/>
              </w:rPr>
              <w:t>Non PP</w:t>
            </w:r>
          </w:p>
        </w:tc>
      </w:tr>
      <w:tr w:rsidR="00E706AD" w14:paraId="6D58AFC2" w14:textId="77777777" w:rsidTr="00B915C7">
        <w:tc>
          <w:tcPr>
            <w:tcW w:w="1129" w:type="dxa"/>
          </w:tcPr>
          <w:p w14:paraId="175F164B" w14:textId="77777777" w:rsidR="00E706AD" w:rsidRDefault="00E706AD" w:rsidP="00B915C7">
            <w:r>
              <w:t>Reading</w:t>
            </w:r>
          </w:p>
        </w:tc>
        <w:tc>
          <w:tcPr>
            <w:tcW w:w="993" w:type="dxa"/>
          </w:tcPr>
          <w:p w14:paraId="35E6FB76" w14:textId="77777777" w:rsidR="00E706AD" w:rsidRDefault="00E706AD" w:rsidP="00B915C7">
            <w:r>
              <w:t xml:space="preserve">50% </w:t>
            </w:r>
            <w:r>
              <w:rPr>
                <w:i/>
              </w:rPr>
              <w:t>(85</w:t>
            </w:r>
            <w:r w:rsidRPr="00A42125">
              <w:rPr>
                <w:i/>
              </w:rPr>
              <w:t>%)</w:t>
            </w:r>
          </w:p>
        </w:tc>
        <w:tc>
          <w:tcPr>
            <w:tcW w:w="1134" w:type="dxa"/>
          </w:tcPr>
          <w:p w14:paraId="7949AAE4" w14:textId="77777777" w:rsidR="00E706AD" w:rsidRDefault="00E706AD" w:rsidP="00B915C7">
            <w:r>
              <w:t>95%</w:t>
            </w:r>
          </w:p>
          <w:p w14:paraId="1A2DE28B" w14:textId="77777777" w:rsidR="00E706AD" w:rsidRDefault="00E706AD" w:rsidP="00B915C7">
            <w:r>
              <w:t>(94%)</w:t>
            </w:r>
          </w:p>
        </w:tc>
      </w:tr>
      <w:tr w:rsidR="00E706AD" w14:paraId="7DF9E59A" w14:textId="77777777" w:rsidTr="00B915C7">
        <w:tc>
          <w:tcPr>
            <w:tcW w:w="1129" w:type="dxa"/>
          </w:tcPr>
          <w:p w14:paraId="7E5B8754" w14:textId="77777777" w:rsidR="00E706AD" w:rsidRDefault="00E706AD" w:rsidP="00B915C7">
            <w:r>
              <w:lastRenderedPageBreak/>
              <w:t>Writing</w:t>
            </w:r>
          </w:p>
        </w:tc>
        <w:tc>
          <w:tcPr>
            <w:tcW w:w="993" w:type="dxa"/>
          </w:tcPr>
          <w:p w14:paraId="1863AA6A" w14:textId="77777777" w:rsidR="00E706AD" w:rsidRDefault="00E706AD" w:rsidP="00B915C7">
            <w:r>
              <w:t xml:space="preserve">60% </w:t>
            </w:r>
            <w:r>
              <w:rPr>
                <w:i/>
              </w:rPr>
              <w:t>(69</w:t>
            </w:r>
            <w:r w:rsidRPr="00A42125">
              <w:rPr>
                <w:i/>
              </w:rPr>
              <w:t>%)</w:t>
            </w:r>
          </w:p>
        </w:tc>
        <w:tc>
          <w:tcPr>
            <w:tcW w:w="1134" w:type="dxa"/>
          </w:tcPr>
          <w:p w14:paraId="428D5297" w14:textId="77777777" w:rsidR="00E706AD" w:rsidRDefault="00E706AD" w:rsidP="00B915C7">
            <w:r>
              <w:t>90%</w:t>
            </w:r>
          </w:p>
          <w:p w14:paraId="42A63988" w14:textId="77777777" w:rsidR="00E706AD" w:rsidRPr="00973B38" w:rsidRDefault="00E706AD" w:rsidP="00B915C7">
            <w:pPr>
              <w:rPr>
                <w:i/>
              </w:rPr>
            </w:pPr>
            <w:r>
              <w:rPr>
                <w:i/>
              </w:rPr>
              <w:t>(88</w:t>
            </w:r>
            <w:r w:rsidRPr="00973B38">
              <w:rPr>
                <w:i/>
              </w:rPr>
              <w:t>%)</w:t>
            </w:r>
          </w:p>
        </w:tc>
      </w:tr>
      <w:tr w:rsidR="00E706AD" w14:paraId="198CF082" w14:textId="77777777" w:rsidTr="00B915C7">
        <w:tc>
          <w:tcPr>
            <w:tcW w:w="1129" w:type="dxa"/>
          </w:tcPr>
          <w:p w14:paraId="76EA44EB" w14:textId="77777777" w:rsidR="00E706AD" w:rsidRDefault="00E706AD" w:rsidP="00B915C7">
            <w:r>
              <w:t>Maths</w:t>
            </w:r>
          </w:p>
        </w:tc>
        <w:tc>
          <w:tcPr>
            <w:tcW w:w="993" w:type="dxa"/>
          </w:tcPr>
          <w:p w14:paraId="1462F4DE" w14:textId="77777777" w:rsidR="00E706AD" w:rsidRDefault="00E706AD" w:rsidP="00B915C7">
            <w:r>
              <w:t xml:space="preserve">70% </w:t>
            </w:r>
            <w:r>
              <w:rPr>
                <w:i/>
              </w:rPr>
              <w:t>(62</w:t>
            </w:r>
            <w:r w:rsidRPr="00A42125">
              <w:rPr>
                <w:i/>
              </w:rPr>
              <w:t>%)</w:t>
            </w:r>
          </w:p>
        </w:tc>
        <w:tc>
          <w:tcPr>
            <w:tcW w:w="1134" w:type="dxa"/>
          </w:tcPr>
          <w:p w14:paraId="3358A81D" w14:textId="77777777" w:rsidR="00E706AD" w:rsidRDefault="00E706AD" w:rsidP="00B915C7">
            <w:r>
              <w:t>80%</w:t>
            </w:r>
          </w:p>
          <w:p w14:paraId="6B36349A" w14:textId="77777777" w:rsidR="00E706AD" w:rsidRPr="00973B38" w:rsidRDefault="00E706AD" w:rsidP="00B915C7">
            <w:pPr>
              <w:rPr>
                <w:i/>
              </w:rPr>
            </w:pPr>
            <w:r>
              <w:rPr>
                <w:i/>
              </w:rPr>
              <w:t>(88</w:t>
            </w:r>
            <w:r w:rsidRPr="00973B38">
              <w:rPr>
                <w:i/>
              </w:rPr>
              <w:t>%)</w:t>
            </w:r>
          </w:p>
        </w:tc>
      </w:tr>
    </w:tbl>
    <w:p w14:paraId="5CF5B4EC" w14:textId="77777777" w:rsidR="00E706AD" w:rsidRPr="0056688C" w:rsidRDefault="00E706AD" w:rsidP="00C32F70">
      <w:pPr>
        <w:rPr>
          <w:sz w:val="22"/>
          <w:szCs w:val="22"/>
          <w:u w:val="single"/>
        </w:rPr>
      </w:pPr>
    </w:p>
    <w:p w14:paraId="5DB56553" w14:textId="77777777" w:rsidR="0056688C" w:rsidRPr="00B83D89" w:rsidRDefault="0056688C" w:rsidP="00E777B7">
      <w:pPr>
        <w:rPr>
          <w:sz w:val="22"/>
          <w:szCs w:val="22"/>
        </w:rPr>
      </w:pPr>
    </w:p>
    <w:sectPr w:rsidR="0056688C" w:rsidRPr="00B83D89">
      <w:headerReference w:type="default" r:id="rId15"/>
      <w:footerReference w:type="default" r:id="rId1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AEDC2" w14:textId="77777777" w:rsidR="00041E2D" w:rsidRDefault="00041E2D">
      <w:pPr>
        <w:spacing w:after="0" w:line="240" w:lineRule="auto"/>
      </w:pPr>
      <w:r>
        <w:separator/>
      </w:r>
    </w:p>
  </w:endnote>
  <w:endnote w:type="continuationSeparator" w:id="0">
    <w:p w14:paraId="651CE971" w14:textId="77777777" w:rsidR="00041E2D" w:rsidRDefault="0004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5773ED12" w:rsidR="009C4484" w:rsidRDefault="009C4484">
    <w:pPr>
      <w:pStyle w:val="Footer"/>
      <w:ind w:firstLine="4513"/>
    </w:pPr>
    <w:r>
      <w:fldChar w:fldCharType="begin"/>
    </w:r>
    <w:r>
      <w:instrText xml:space="preserve"> PAGE </w:instrText>
    </w:r>
    <w:r>
      <w:fldChar w:fldCharType="separate"/>
    </w:r>
    <w:r w:rsidR="00E777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6D94" w14:textId="77777777" w:rsidR="00041E2D" w:rsidRDefault="00041E2D">
      <w:pPr>
        <w:spacing w:after="0" w:line="240" w:lineRule="auto"/>
      </w:pPr>
      <w:r>
        <w:separator/>
      </w:r>
    </w:p>
  </w:footnote>
  <w:footnote w:type="continuationSeparator" w:id="0">
    <w:p w14:paraId="6A90F305" w14:textId="77777777" w:rsidR="00041E2D" w:rsidRDefault="00041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9C4484" w:rsidRDefault="009C4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79FC"/>
    <w:multiLevelType w:val="hybridMultilevel"/>
    <w:tmpl w:val="38AC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21F05"/>
    <w:multiLevelType w:val="hybridMultilevel"/>
    <w:tmpl w:val="6964A35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5DD7F37"/>
    <w:multiLevelType w:val="multilevel"/>
    <w:tmpl w:val="6490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0BF6713"/>
    <w:multiLevelType w:val="hybridMultilevel"/>
    <w:tmpl w:val="4126D6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8BE4BDA"/>
    <w:multiLevelType w:val="hybridMultilevel"/>
    <w:tmpl w:val="4EB623F0"/>
    <w:lvl w:ilvl="0" w:tplc="C4964602">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FAD3F48"/>
    <w:multiLevelType w:val="hybridMultilevel"/>
    <w:tmpl w:val="32F655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8D5BD8"/>
    <w:multiLevelType w:val="hybridMultilevel"/>
    <w:tmpl w:val="6A22F4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4734291"/>
    <w:multiLevelType w:val="hybridMultilevel"/>
    <w:tmpl w:val="F72A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3A79F1"/>
    <w:multiLevelType w:val="hybridMultilevel"/>
    <w:tmpl w:val="D10E97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AD8232D"/>
    <w:multiLevelType w:val="hybridMultilevel"/>
    <w:tmpl w:val="7728C53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15:restartNumberingAfterBreak="0">
    <w:nsid w:val="6B794245"/>
    <w:multiLevelType w:val="hybridMultilevel"/>
    <w:tmpl w:val="42A2D1DC"/>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2" w15:restartNumberingAfterBreak="0">
    <w:nsid w:val="6CB40C74"/>
    <w:multiLevelType w:val="multilevel"/>
    <w:tmpl w:val="41D88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9557F13"/>
    <w:multiLevelType w:val="hybridMultilevel"/>
    <w:tmpl w:val="D3A0340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7" w15:restartNumberingAfterBreak="0">
    <w:nsid w:val="7B7763EA"/>
    <w:multiLevelType w:val="multilevel"/>
    <w:tmpl w:val="C0F6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29" w15:restartNumberingAfterBreak="0">
    <w:nsid w:val="7ECC36D1"/>
    <w:multiLevelType w:val="multilevel"/>
    <w:tmpl w:val="7710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687713">
    <w:abstractNumId w:val="7"/>
  </w:num>
  <w:num w:numId="2" w16cid:durableId="1563710788">
    <w:abstractNumId w:val="4"/>
  </w:num>
  <w:num w:numId="3" w16cid:durableId="2134399043">
    <w:abstractNumId w:val="8"/>
  </w:num>
  <w:num w:numId="4" w16cid:durableId="574048907">
    <w:abstractNumId w:val="10"/>
  </w:num>
  <w:num w:numId="5" w16cid:durableId="934171870">
    <w:abstractNumId w:val="2"/>
  </w:num>
  <w:num w:numId="6" w16cid:durableId="554126187">
    <w:abstractNumId w:val="13"/>
  </w:num>
  <w:num w:numId="7" w16cid:durableId="1368528810">
    <w:abstractNumId w:val="18"/>
  </w:num>
  <w:num w:numId="8" w16cid:durableId="346832181">
    <w:abstractNumId w:val="25"/>
  </w:num>
  <w:num w:numId="9" w16cid:durableId="328095905">
    <w:abstractNumId w:val="23"/>
  </w:num>
  <w:num w:numId="10" w16cid:durableId="1613199269">
    <w:abstractNumId w:val="21"/>
  </w:num>
  <w:num w:numId="11" w16cid:durableId="2124569552">
    <w:abstractNumId w:val="6"/>
  </w:num>
  <w:num w:numId="12" w16cid:durableId="530339398">
    <w:abstractNumId w:val="24"/>
  </w:num>
  <w:num w:numId="13" w16cid:durableId="273748981">
    <w:abstractNumId w:val="17"/>
  </w:num>
  <w:num w:numId="14" w16cid:durableId="346907955">
    <w:abstractNumId w:val="5"/>
  </w:num>
  <w:num w:numId="15" w16cid:durableId="907037851">
    <w:abstractNumId w:val="20"/>
  </w:num>
  <w:num w:numId="16" w16cid:durableId="383024792">
    <w:abstractNumId w:val="1"/>
  </w:num>
  <w:num w:numId="17" w16cid:durableId="1344820152">
    <w:abstractNumId w:val="9"/>
  </w:num>
  <w:num w:numId="18" w16cid:durableId="1883052896">
    <w:abstractNumId w:val="19"/>
  </w:num>
  <w:num w:numId="19" w16cid:durableId="525020654">
    <w:abstractNumId w:val="12"/>
  </w:num>
  <w:num w:numId="20" w16cid:durableId="1623878303">
    <w:abstractNumId w:val="26"/>
  </w:num>
  <w:num w:numId="21" w16cid:durableId="1749814104">
    <w:abstractNumId w:val="15"/>
  </w:num>
  <w:num w:numId="22" w16cid:durableId="990599915">
    <w:abstractNumId w:val="11"/>
  </w:num>
  <w:num w:numId="23" w16cid:durableId="1713307945">
    <w:abstractNumId w:val="16"/>
  </w:num>
  <w:num w:numId="24" w16cid:durableId="660232162">
    <w:abstractNumId w:val="28"/>
  </w:num>
  <w:num w:numId="25" w16cid:durableId="443774517">
    <w:abstractNumId w:val="0"/>
  </w:num>
  <w:num w:numId="26" w16cid:durableId="1572344806">
    <w:abstractNumId w:val="14"/>
  </w:num>
  <w:num w:numId="27" w16cid:durableId="658851376">
    <w:abstractNumId w:val="27"/>
  </w:num>
  <w:num w:numId="28" w16cid:durableId="481044481">
    <w:abstractNumId w:val="29"/>
  </w:num>
  <w:num w:numId="29" w16cid:durableId="657078585">
    <w:abstractNumId w:val="3"/>
  </w:num>
  <w:num w:numId="30" w16cid:durableId="20191886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6365"/>
    <w:rsid w:val="00012438"/>
    <w:rsid w:val="000213C5"/>
    <w:rsid w:val="00041E2D"/>
    <w:rsid w:val="00066B73"/>
    <w:rsid w:val="00071DDE"/>
    <w:rsid w:val="000C1B78"/>
    <w:rsid w:val="00103980"/>
    <w:rsid w:val="001171A4"/>
    <w:rsid w:val="00120AB1"/>
    <w:rsid w:val="0016557C"/>
    <w:rsid w:val="00194FA3"/>
    <w:rsid w:val="001B4449"/>
    <w:rsid w:val="001C25BF"/>
    <w:rsid w:val="001C660A"/>
    <w:rsid w:val="001D4D5F"/>
    <w:rsid w:val="00210FFC"/>
    <w:rsid w:val="00245863"/>
    <w:rsid w:val="00247258"/>
    <w:rsid w:val="002D021C"/>
    <w:rsid w:val="002D5D7F"/>
    <w:rsid w:val="002D609F"/>
    <w:rsid w:val="003463CD"/>
    <w:rsid w:val="003B6BC9"/>
    <w:rsid w:val="003F003B"/>
    <w:rsid w:val="004044AA"/>
    <w:rsid w:val="00432E48"/>
    <w:rsid w:val="00462112"/>
    <w:rsid w:val="004A0A40"/>
    <w:rsid w:val="004C1386"/>
    <w:rsid w:val="004F779D"/>
    <w:rsid w:val="00506759"/>
    <w:rsid w:val="00563CA9"/>
    <w:rsid w:val="0056688C"/>
    <w:rsid w:val="005B3BA3"/>
    <w:rsid w:val="005C4DBC"/>
    <w:rsid w:val="005F7EFE"/>
    <w:rsid w:val="00640D71"/>
    <w:rsid w:val="006944A2"/>
    <w:rsid w:val="006B34B8"/>
    <w:rsid w:val="006E7FB1"/>
    <w:rsid w:val="006F4F2E"/>
    <w:rsid w:val="00701D7B"/>
    <w:rsid w:val="007027D6"/>
    <w:rsid w:val="00733C9D"/>
    <w:rsid w:val="00741B9E"/>
    <w:rsid w:val="00741F68"/>
    <w:rsid w:val="00743858"/>
    <w:rsid w:val="00755F9F"/>
    <w:rsid w:val="007B70D7"/>
    <w:rsid w:val="007C2F04"/>
    <w:rsid w:val="007D3491"/>
    <w:rsid w:val="008064C2"/>
    <w:rsid w:val="008073CD"/>
    <w:rsid w:val="00864845"/>
    <w:rsid w:val="00867B19"/>
    <w:rsid w:val="00882453"/>
    <w:rsid w:val="00886C31"/>
    <w:rsid w:val="0090636C"/>
    <w:rsid w:val="00937566"/>
    <w:rsid w:val="00964A6C"/>
    <w:rsid w:val="00973154"/>
    <w:rsid w:val="009A2A1C"/>
    <w:rsid w:val="009B2993"/>
    <w:rsid w:val="009C4484"/>
    <w:rsid w:val="009D71E8"/>
    <w:rsid w:val="009E71B5"/>
    <w:rsid w:val="009F5027"/>
    <w:rsid w:val="00A01BC5"/>
    <w:rsid w:val="00A028AB"/>
    <w:rsid w:val="00A24ED8"/>
    <w:rsid w:val="00A4537D"/>
    <w:rsid w:val="00A45E47"/>
    <w:rsid w:val="00A922D3"/>
    <w:rsid w:val="00B04FB1"/>
    <w:rsid w:val="00B233A4"/>
    <w:rsid w:val="00B67553"/>
    <w:rsid w:val="00B72D02"/>
    <w:rsid w:val="00B83D89"/>
    <w:rsid w:val="00BB3259"/>
    <w:rsid w:val="00BD2A7F"/>
    <w:rsid w:val="00C04703"/>
    <w:rsid w:val="00C238DF"/>
    <w:rsid w:val="00C25AC4"/>
    <w:rsid w:val="00C27A96"/>
    <w:rsid w:val="00C31BDF"/>
    <w:rsid w:val="00C32F70"/>
    <w:rsid w:val="00C777DC"/>
    <w:rsid w:val="00C84904"/>
    <w:rsid w:val="00C871C0"/>
    <w:rsid w:val="00C9221C"/>
    <w:rsid w:val="00C92A87"/>
    <w:rsid w:val="00CB358A"/>
    <w:rsid w:val="00D33FE5"/>
    <w:rsid w:val="00D70554"/>
    <w:rsid w:val="00DA1987"/>
    <w:rsid w:val="00DA52B5"/>
    <w:rsid w:val="00DB6109"/>
    <w:rsid w:val="00DC069E"/>
    <w:rsid w:val="00E30695"/>
    <w:rsid w:val="00E37B5E"/>
    <w:rsid w:val="00E41009"/>
    <w:rsid w:val="00E52226"/>
    <w:rsid w:val="00E66558"/>
    <w:rsid w:val="00E706AD"/>
    <w:rsid w:val="00E777B7"/>
    <w:rsid w:val="00EA65C7"/>
    <w:rsid w:val="00EB2DE6"/>
    <w:rsid w:val="00EC7D61"/>
    <w:rsid w:val="00ED11F5"/>
    <w:rsid w:val="00EF3835"/>
    <w:rsid w:val="00EF3C93"/>
    <w:rsid w:val="00F10736"/>
    <w:rsid w:val="00F3456B"/>
    <w:rsid w:val="00F525A6"/>
    <w:rsid w:val="00F654FA"/>
    <w:rsid w:val="00F67C11"/>
    <w:rsid w:val="00F7627A"/>
    <w:rsid w:val="00FC5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BD2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next w:val="GridTable4-Accent6"/>
    <w:uiPriority w:val="49"/>
    <w:rsid w:val="00C871C0"/>
    <w:pPr>
      <w:autoSpaceDN/>
    </w:pPr>
    <w:rPr>
      <w:rFonts w:ascii="Calibri" w:eastAsia="Calibr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C871C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2">
    <w:name w:val="Grid Table 4 - Accent 62"/>
    <w:basedOn w:val="TableNormal"/>
    <w:next w:val="GridTable4-Accent6"/>
    <w:uiPriority w:val="49"/>
    <w:rsid w:val="00C871C0"/>
    <w:pPr>
      <w:autoSpaceDN/>
    </w:pPr>
    <w:rPr>
      <w:rFonts w:ascii="Calibri" w:eastAsia="Calibri" w:hAnsi="Calibri"/>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UnresolvedMention2">
    <w:name w:val="Unresolved Mention2"/>
    <w:basedOn w:val="DefaultParagraphFont"/>
    <w:uiPriority w:val="99"/>
    <w:semiHidden/>
    <w:unhideWhenUsed/>
    <w:rsid w:val="00506759"/>
    <w:rPr>
      <w:color w:val="605E5C"/>
      <w:shd w:val="clear" w:color="auto" w:fill="E1DFDD"/>
    </w:rPr>
  </w:style>
  <w:style w:type="character" w:styleId="Strong">
    <w:name w:val="Strong"/>
    <w:basedOn w:val="DefaultParagraphFont"/>
    <w:uiPriority w:val="22"/>
    <w:qFormat/>
    <w:rsid w:val="009C4484"/>
    <w:rPr>
      <w:b/>
      <w:bCs/>
    </w:rPr>
  </w:style>
  <w:style w:type="paragraph" w:styleId="NormalWeb">
    <w:name w:val="Normal (Web)"/>
    <w:basedOn w:val="Normal"/>
    <w:link w:val="NormalWebChar"/>
    <w:uiPriority w:val="99"/>
    <w:unhideWhenUsed/>
    <w:rsid w:val="00755F9F"/>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755F9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852382">
      <w:bodyDiv w:val="1"/>
      <w:marLeft w:val="0"/>
      <w:marRight w:val="0"/>
      <w:marTop w:val="0"/>
      <w:marBottom w:val="0"/>
      <w:divBdr>
        <w:top w:val="none" w:sz="0" w:space="0" w:color="auto"/>
        <w:left w:val="none" w:sz="0" w:space="0" w:color="auto"/>
        <w:bottom w:val="none" w:sz="0" w:space="0" w:color="auto"/>
        <w:right w:val="none" w:sz="0" w:space="0" w:color="auto"/>
      </w:divBdr>
    </w:div>
    <w:div w:id="1303542185">
      <w:bodyDiv w:val="1"/>
      <w:marLeft w:val="0"/>
      <w:marRight w:val="0"/>
      <w:marTop w:val="0"/>
      <w:marBottom w:val="0"/>
      <w:divBdr>
        <w:top w:val="none" w:sz="0" w:space="0" w:color="auto"/>
        <w:left w:val="none" w:sz="0" w:space="0" w:color="auto"/>
        <w:bottom w:val="none" w:sz="0" w:space="0" w:color="auto"/>
        <w:right w:val="none" w:sz="0" w:space="0" w:color="auto"/>
      </w:divBdr>
    </w:div>
    <w:div w:id="1646423899">
      <w:bodyDiv w:val="1"/>
      <w:marLeft w:val="0"/>
      <w:marRight w:val="0"/>
      <w:marTop w:val="0"/>
      <w:marBottom w:val="0"/>
      <w:divBdr>
        <w:top w:val="none" w:sz="0" w:space="0" w:color="auto"/>
        <w:left w:val="none" w:sz="0" w:space="0" w:color="auto"/>
        <w:bottom w:val="none" w:sz="0" w:space="0" w:color="auto"/>
        <w:right w:val="none" w:sz="0" w:space="0" w:color="auto"/>
      </w:divBdr>
    </w:div>
    <w:div w:id="1678387897">
      <w:bodyDiv w:val="1"/>
      <w:marLeft w:val="0"/>
      <w:marRight w:val="0"/>
      <w:marTop w:val="0"/>
      <w:marBottom w:val="0"/>
      <w:divBdr>
        <w:top w:val="none" w:sz="0" w:space="0" w:color="auto"/>
        <w:left w:val="none" w:sz="0" w:space="0" w:color="auto"/>
        <w:bottom w:val="none" w:sz="0" w:space="0" w:color="auto"/>
        <w:right w:val="none" w:sz="0" w:space="0" w:color="auto"/>
      </w:divBdr>
    </w:div>
    <w:div w:id="2139490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one-to-one-tuition" TargetMode="External"/><Relationship Id="rId13" Type="http://schemas.openxmlformats.org/officeDocument/2006/relationships/hyperlink" Target="https://educationendowmentfoundation.org.uk/education-evidence/teaching-learning-toolkit/behaviour-interven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cationendowmentfoundation.org.uk/education-evidence/teaching-learning-toolkit/arts-participation" TargetMode="External"/><Relationship Id="rId12" Type="http://schemas.openxmlformats.org/officeDocument/2006/relationships/hyperlink" Target="https://educationendowmentfoundation.org.uk/education-evidence/teaching-learning-toolkit/social-and-emotional-learn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phonic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ducationendowmentfoundation.org.uk/education-evidence/teaching-learning-toolkit/phonics"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small-group-tuition" TargetMode="External"/><Relationship Id="rId14" Type="http://schemas.openxmlformats.org/officeDocument/2006/relationships/hyperlink" Target="https://educationendowmentfoundation.org.uk/projects-and-evaluation/projects/national-school-breakfast-programme?utm_source=/projects-and-evaluation/projects/national-school-breakfast-programme&amp;utm_medium=search&amp;utm_campaign=site_search&amp;search_term=bre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2849</Words>
  <Characters>14163</Characters>
  <Application>Microsoft Office Word</Application>
  <DocSecurity>0</DocSecurity>
  <Lines>2023</Lines>
  <Paragraphs>1890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Emily Sweeney</dc:creator>
  <dc:description>Master-ET-v3.8</dc:description>
  <cp:lastModifiedBy>Emily Sweeney</cp:lastModifiedBy>
  <cp:revision>25</cp:revision>
  <cp:lastPrinted>2014-09-17T13:26:00Z</cp:lastPrinted>
  <dcterms:created xsi:type="dcterms:W3CDTF">2023-10-11T11:25:00Z</dcterms:created>
  <dcterms:modified xsi:type="dcterms:W3CDTF">2025-12-03T16:44:00Z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SIP_Label_adddf5d3-c0f9-4753-9b5d-548638f8dc02_Enabled">
    <vt:lpwstr>true</vt:lpwstr>
  </property>
  <property fmtid="{D5CDD505-2E9C-101B-9397-08002B2CF9AE}" pid="14" name="MSIP_Label_adddf5d3-c0f9-4753-9b5d-548638f8dc02_SetDate">
    <vt:lpwstr>2025-12-03T16:18:24Z</vt:lpwstr>
  </property>
  <property fmtid="{D5CDD505-2E9C-101B-9397-08002B2CF9AE}" pid="15" name="MSIP_Label_adddf5d3-c0f9-4753-9b5d-548638f8dc02_Method">
    <vt:lpwstr>Standard</vt:lpwstr>
  </property>
  <property fmtid="{D5CDD505-2E9C-101B-9397-08002B2CF9AE}" pid="16" name="MSIP_Label_adddf5d3-c0f9-4753-9b5d-548638f8dc02_Name">
    <vt:lpwstr>Anyone (unrestricted)</vt:lpwstr>
  </property>
  <property fmtid="{D5CDD505-2E9C-101B-9397-08002B2CF9AE}" pid="17" name="MSIP_Label_adddf5d3-c0f9-4753-9b5d-548638f8dc02_SiteId">
    <vt:lpwstr>57068f24-7660-4b87-acdd-2de8430eee2c</vt:lpwstr>
  </property>
  <property fmtid="{D5CDD505-2E9C-101B-9397-08002B2CF9AE}" pid="18" name="MSIP_Label_adddf5d3-c0f9-4753-9b5d-548638f8dc02_ActionId">
    <vt:lpwstr>301a77a7-393e-4613-a095-f32507ac6033</vt:lpwstr>
  </property>
  <property fmtid="{D5CDD505-2E9C-101B-9397-08002B2CF9AE}" pid="19" name="MSIP_Label_adddf5d3-c0f9-4753-9b5d-548638f8dc02_ContentBits">
    <vt:lpwstr>0</vt:lpwstr>
  </property>
  <property fmtid="{D5CDD505-2E9C-101B-9397-08002B2CF9AE}" pid="20" name="MSIP_Label_adddf5d3-c0f9-4753-9b5d-548638f8dc02_Tag">
    <vt:lpwstr>10, 3, 0, 1</vt:lpwstr>
  </property>
</Properties>
</file>